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6B" w:rsidRDefault="00D26AD4" w:rsidP="00677B6B">
      <w:pPr>
        <w:jc w:val="center"/>
        <w:rPr>
          <w:sz w:val="28"/>
          <w:szCs w:val="28"/>
        </w:rPr>
      </w:pPr>
      <w:r>
        <w:t xml:space="preserve">  </w:t>
      </w:r>
      <w:bookmarkStart w:id="0" w:name="_GoBack"/>
      <w:bookmarkEnd w:id="0"/>
      <w:r w:rsidR="006A2A9D">
        <w:t xml:space="preserve"> </w:t>
      </w:r>
      <w:r w:rsidR="00D11BAF">
        <w:t xml:space="preserve"> </w:t>
      </w:r>
      <w:r w:rsidR="00677B6B" w:rsidRPr="00A16D39"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B6B" w:rsidRDefault="00677B6B" w:rsidP="00677B6B">
      <w:pPr>
        <w:jc w:val="center"/>
        <w:rPr>
          <w:sz w:val="28"/>
          <w:szCs w:val="28"/>
        </w:rPr>
      </w:pPr>
    </w:p>
    <w:p w:rsidR="00677B6B" w:rsidRPr="00174B8B" w:rsidRDefault="00677B6B" w:rsidP="00677B6B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 xml:space="preserve">СОВЕТ  ДЕПУТАТОВ  МУНИЦИПАЛЬНОГО  ОБРАЗОВАНИЯ  </w:t>
      </w:r>
    </w:p>
    <w:p w:rsidR="00677B6B" w:rsidRPr="00174B8B" w:rsidRDefault="00677B6B" w:rsidP="00677B6B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>«ГОРОД  ГАТЧИНА»</w:t>
      </w:r>
    </w:p>
    <w:p w:rsidR="00677B6B" w:rsidRPr="00174B8B" w:rsidRDefault="00677B6B" w:rsidP="00677B6B">
      <w:pPr>
        <w:jc w:val="center"/>
        <w:rPr>
          <w:sz w:val="28"/>
          <w:szCs w:val="28"/>
        </w:rPr>
      </w:pPr>
      <w:r w:rsidRPr="00174B8B">
        <w:rPr>
          <w:sz w:val="28"/>
          <w:szCs w:val="28"/>
        </w:rPr>
        <w:t>ГАТЧИНСКОГО  МУНИЦИПАЛЬНОГО  РАЙОНА</w:t>
      </w:r>
    </w:p>
    <w:p w:rsidR="00677B6B" w:rsidRPr="00174B8B" w:rsidRDefault="00677B6B" w:rsidP="00677B6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174B8B">
        <w:rPr>
          <w:sz w:val="28"/>
          <w:szCs w:val="28"/>
        </w:rPr>
        <w:t xml:space="preserve"> СОЗЫВА</w:t>
      </w:r>
    </w:p>
    <w:p w:rsidR="00677B6B" w:rsidRPr="00174B8B" w:rsidRDefault="00677B6B" w:rsidP="00677B6B">
      <w:pPr>
        <w:jc w:val="center"/>
        <w:rPr>
          <w:b/>
          <w:sz w:val="28"/>
          <w:szCs w:val="28"/>
        </w:rPr>
      </w:pPr>
    </w:p>
    <w:p w:rsidR="00677B6B" w:rsidRPr="00174B8B" w:rsidRDefault="00677B6B" w:rsidP="00677B6B">
      <w:pPr>
        <w:jc w:val="center"/>
        <w:rPr>
          <w:b/>
          <w:sz w:val="28"/>
          <w:szCs w:val="28"/>
        </w:rPr>
      </w:pPr>
      <w:r w:rsidRPr="00174B8B">
        <w:rPr>
          <w:b/>
          <w:sz w:val="28"/>
          <w:szCs w:val="28"/>
        </w:rPr>
        <w:t>РЕШЕНИЕ</w:t>
      </w:r>
    </w:p>
    <w:p w:rsidR="00677B6B" w:rsidRPr="00174B8B" w:rsidRDefault="00677B6B" w:rsidP="00677B6B">
      <w:pPr>
        <w:jc w:val="center"/>
      </w:pPr>
    </w:p>
    <w:p w:rsidR="00677B6B" w:rsidRPr="00E94B09" w:rsidRDefault="00677B6B" w:rsidP="00677B6B">
      <w:pPr>
        <w:jc w:val="both"/>
        <w:rPr>
          <w:sz w:val="28"/>
          <w:szCs w:val="28"/>
        </w:rPr>
      </w:pPr>
      <w:r w:rsidRPr="00E94B09">
        <w:rPr>
          <w:sz w:val="28"/>
          <w:szCs w:val="28"/>
        </w:rPr>
        <w:t xml:space="preserve"> </w:t>
      </w:r>
      <w:r w:rsidRPr="00A16D39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04 мая</w:t>
      </w:r>
      <w:r w:rsidRPr="00A16D39">
        <w:rPr>
          <w:sz w:val="28"/>
          <w:szCs w:val="28"/>
          <w:u w:val="single"/>
        </w:rPr>
        <w:t xml:space="preserve"> 2016 года </w:t>
      </w:r>
      <w:r w:rsidRPr="00E94B09"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</w:rPr>
        <w:t xml:space="preserve"> </w:t>
      </w:r>
      <w:r w:rsidRPr="00A16D3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7</w:t>
      </w:r>
    </w:p>
    <w:p w:rsidR="00E87A5D" w:rsidRDefault="00E87A5D" w:rsidP="00677B6B">
      <w:pPr>
        <w:pStyle w:val="ab"/>
        <w:tabs>
          <w:tab w:val="left" w:pos="-142"/>
        </w:tabs>
        <w:ind w:left="-284" w:right="423"/>
        <w:rPr>
          <w:sz w:val="16"/>
          <w:szCs w:val="16"/>
        </w:rPr>
      </w:pPr>
    </w:p>
    <w:p w:rsidR="00B965AC" w:rsidRPr="00393823" w:rsidRDefault="00CE047C" w:rsidP="00FC3E24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r w:rsidRPr="00393823">
        <w:rPr>
          <w:b/>
        </w:rPr>
        <w:t>О</w:t>
      </w:r>
      <w:r w:rsidR="007B2333" w:rsidRPr="00393823">
        <w:rPr>
          <w:b/>
        </w:rPr>
        <w:t xml:space="preserve">б утверждении </w:t>
      </w:r>
      <w:r w:rsidR="001F15FF" w:rsidRPr="00393823">
        <w:rPr>
          <w:b/>
        </w:rPr>
        <w:t xml:space="preserve">методики расчета годовой арендной платы за пользование объектами нежилого фонда и объектами коммунального назначения, находящимися в собственности </w:t>
      </w:r>
      <w:r w:rsidR="00734A9F">
        <w:rPr>
          <w:b/>
        </w:rPr>
        <w:t>муниципального образования</w:t>
      </w:r>
      <w:r w:rsidR="001F15FF" w:rsidRPr="00393823">
        <w:rPr>
          <w:b/>
        </w:rPr>
        <w:t xml:space="preserve"> «</w:t>
      </w:r>
      <w:r w:rsidR="00BD493E" w:rsidRPr="00393823">
        <w:rPr>
          <w:b/>
        </w:rPr>
        <w:t xml:space="preserve">Город </w:t>
      </w:r>
      <w:r w:rsidR="001F15FF" w:rsidRPr="00393823">
        <w:rPr>
          <w:b/>
        </w:rPr>
        <w:t>Гатчин</w:t>
      </w:r>
      <w:r w:rsidR="00BD493E" w:rsidRPr="00393823">
        <w:rPr>
          <w:b/>
        </w:rPr>
        <w:t>а» Гатчин</w:t>
      </w:r>
      <w:r w:rsidR="001F15FF" w:rsidRPr="00393823">
        <w:rPr>
          <w:b/>
        </w:rPr>
        <w:t>ск</w:t>
      </w:r>
      <w:r w:rsidR="00BD493E" w:rsidRPr="00393823">
        <w:rPr>
          <w:b/>
        </w:rPr>
        <w:t>ого</w:t>
      </w:r>
      <w:r w:rsidR="001F15FF" w:rsidRPr="00393823">
        <w:rPr>
          <w:b/>
        </w:rPr>
        <w:t xml:space="preserve"> </w:t>
      </w:r>
      <w:r w:rsidR="00734A9F">
        <w:rPr>
          <w:b/>
        </w:rPr>
        <w:t xml:space="preserve">муниципального </w:t>
      </w:r>
      <w:r w:rsidR="001F15FF" w:rsidRPr="00393823">
        <w:rPr>
          <w:b/>
        </w:rPr>
        <w:t>район</w:t>
      </w:r>
      <w:r w:rsidR="00BD493E" w:rsidRPr="00393823">
        <w:rPr>
          <w:b/>
        </w:rPr>
        <w:t>а</w:t>
      </w:r>
      <w:r w:rsidR="001F15FF" w:rsidRPr="00393823">
        <w:rPr>
          <w:b/>
        </w:rPr>
        <w:t xml:space="preserve"> Ленинградской области</w:t>
      </w:r>
      <w:r w:rsidR="00A23FF2" w:rsidRPr="00393823">
        <w:rPr>
          <w:b/>
        </w:rPr>
        <w:t xml:space="preserve"> </w:t>
      </w:r>
      <w:r w:rsidR="00E87A5D" w:rsidRPr="00393823">
        <w:rPr>
          <w:b/>
        </w:rPr>
        <w:t xml:space="preserve"> </w:t>
      </w:r>
    </w:p>
    <w:p w:rsidR="00404DD6" w:rsidRPr="00E87A5D" w:rsidRDefault="00404DD6" w:rsidP="00FC3E24">
      <w:pPr>
        <w:pStyle w:val="21"/>
        <w:tabs>
          <w:tab w:val="left" w:pos="708"/>
        </w:tabs>
        <w:spacing w:line="240" w:lineRule="auto"/>
        <w:ind w:right="4675"/>
      </w:pPr>
    </w:p>
    <w:p w:rsidR="00BA6083" w:rsidRPr="002564C0" w:rsidRDefault="00E87A5D" w:rsidP="00BA6083">
      <w:pPr>
        <w:jc w:val="both"/>
        <w:rPr>
          <w:sz w:val="28"/>
          <w:szCs w:val="28"/>
        </w:rPr>
      </w:pPr>
      <w:r w:rsidRPr="007B2333">
        <w:rPr>
          <w:sz w:val="28"/>
          <w:szCs w:val="28"/>
        </w:rPr>
        <w:t xml:space="preserve">  </w:t>
      </w:r>
      <w:r w:rsidR="00BA6083">
        <w:rPr>
          <w:sz w:val="28"/>
          <w:szCs w:val="28"/>
        </w:rPr>
        <w:t xml:space="preserve">         </w:t>
      </w:r>
      <w:r w:rsidR="00A23FF2">
        <w:rPr>
          <w:sz w:val="28"/>
          <w:szCs w:val="28"/>
        </w:rPr>
        <w:t xml:space="preserve">Руководствуясь Гражданским кодексом Российской Федерации,  </w:t>
      </w:r>
      <w:r w:rsidR="00A23FF2" w:rsidRPr="00A23FF2">
        <w:rPr>
          <w:sz w:val="28"/>
          <w:szCs w:val="28"/>
        </w:rPr>
        <w:t>Федеральн</w:t>
      </w:r>
      <w:r w:rsidR="00A23FF2">
        <w:rPr>
          <w:sz w:val="28"/>
          <w:szCs w:val="28"/>
        </w:rPr>
        <w:t>ым</w:t>
      </w:r>
      <w:r w:rsidR="00A23FF2" w:rsidRPr="00A23FF2">
        <w:rPr>
          <w:sz w:val="28"/>
          <w:szCs w:val="28"/>
        </w:rPr>
        <w:t xml:space="preserve"> закон</w:t>
      </w:r>
      <w:r w:rsidR="00A23FF2">
        <w:rPr>
          <w:sz w:val="28"/>
          <w:szCs w:val="28"/>
        </w:rPr>
        <w:t>ом</w:t>
      </w:r>
      <w:r w:rsidR="00A23FF2" w:rsidRPr="00A23FF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 </w:t>
      </w:r>
      <w:r w:rsidRPr="00A23FF2">
        <w:rPr>
          <w:sz w:val="28"/>
          <w:szCs w:val="28"/>
        </w:rPr>
        <w:t>Уставом муниципального образования «</w:t>
      </w:r>
      <w:r w:rsidR="00BD493E">
        <w:rPr>
          <w:sz w:val="28"/>
          <w:szCs w:val="28"/>
        </w:rPr>
        <w:t xml:space="preserve">Город Гатчина» </w:t>
      </w:r>
      <w:r w:rsidRPr="00A23FF2">
        <w:rPr>
          <w:sz w:val="28"/>
          <w:szCs w:val="28"/>
        </w:rPr>
        <w:t>Гатчинск</w:t>
      </w:r>
      <w:r w:rsidR="00BD493E">
        <w:rPr>
          <w:sz w:val="28"/>
          <w:szCs w:val="28"/>
        </w:rPr>
        <w:t>ого</w:t>
      </w:r>
      <w:r w:rsidRPr="00A23FF2">
        <w:rPr>
          <w:sz w:val="28"/>
          <w:szCs w:val="28"/>
        </w:rPr>
        <w:t xml:space="preserve"> </w:t>
      </w:r>
      <w:r w:rsidR="00BA6083">
        <w:rPr>
          <w:sz w:val="28"/>
          <w:szCs w:val="28"/>
        </w:rPr>
        <w:t xml:space="preserve">муниципального </w:t>
      </w:r>
      <w:r w:rsidR="000041F2" w:rsidRPr="00A23FF2">
        <w:rPr>
          <w:sz w:val="28"/>
          <w:szCs w:val="28"/>
        </w:rPr>
        <w:t>район</w:t>
      </w:r>
      <w:r w:rsidR="00BD493E">
        <w:rPr>
          <w:sz w:val="28"/>
          <w:szCs w:val="28"/>
        </w:rPr>
        <w:t>а</w:t>
      </w:r>
      <w:r w:rsidR="000041F2" w:rsidRPr="00A23FF2">
        <w:rPr>
          <w:sz w:val="28"/>
          <w:szCs w:val="28"/>
        </w:rPr>
        <w:t xml:space="preserve"> Ленинградской области,</w:t>
      </w:r>
      <w:r w:rsidR="00BA6083" w:rsidRPr="00BA6083">
        <w:rPr>
          <w:sz w:val="28"/>
          <w:szCs w:val="28"/>
        </w:rPr>
        <w:t xml:space="preserve"> </w:t>
      </w:r>
      <w:r w:rsidR="00BA6083" w:rsidRPr="002564C0">
        <w:rPr>
          <w:sz w:val="28"/>
          <w:szCs w:val="28"/>
        </w:rPr>
        <w:t>совет депутатов МО «Город Гатчина</w:t>
      </w:r>
      <w:r w:rsidR="00006350">
        <w:rPr>
          <w:sz w:val="28"/>
          <w:szCs w:val="28"/>
        </w:rPr>
        <w:t>»</w:t>
      </w:r>
    </w:p>
    <w:p w:rsidR="00E87A5D" w:rsidRPr="00A23FF2" w:rsidRDefault="00E87A5D" w:rsidP="00FC3E24">
      <w:pPr>
        <w:ind w:right="-5" w:firstLine="540"/>
        <w:jc w:val="both"/>
        <w:rPr>
          <w:sz w:val="28"/>
          <w:szCs w:val="28"/>
        </w:rPr>
      </w:pPr>
    </w:p>
    <w:p w:rsidR="00E87A5D" w:rsidRPr="001E23A4" w:rsidRDefault="00E87A5D" w:rsidP="00FC3E24">
      <w:pPr>
        <w:ind w:right="-5"/>
        <w:jc w:val="center"/>
        <w:rPr>
          <w:b/>
          <w:sz w:val="28"/>
          <w:szCs w:val="28"/>
        </w:rPr>
      </w:pPr>
      <w:r w:rsidRPr="001E23A4">
        <w:rPr>
          <w:b/>
          <w:sz w:val="28"/>
          <w:szCs w:val="28"/>
        </w:rPr>
        <w:t>Р Е Ш И Л:</w:t>
      </w:r>
      <w:r w:rsidR="008F7A4B" w:rsidRPr="001E23A4">
        <w:rPr>
          <w:b/>
          <w:sz w:val="28"/>
          <w:szCs w:val="28"/>
        </w:rPr>
        <w:t xml:space="preserve"> </w:t>
      </w:r>
    </w:p>
    <w:p w:rsidR="00B965AC" w:rsidRPr="00734A9F" w:rsidRDefault="00B965AC" w:rsidP="00006350">
      <w:pPr>
        <w:ind w:right="-5" w:firstLine="540"/>
        <w:jc w:val="center"/>
        <w:rPr>
          <w:sz w:val="28"/>
          <w:szCs w:val="28"/>
        </w:rPr>
      </w:pPr>
    </w:p>
    <w:p w:rsidR="001F15FF" w:rsidRPr="00734A9F" w:rsidRDefault="00267BCB" w:rsidP="00006350">
      <w:pPr>
        <w:pStyle w:val="21"/>
        <w:tabs>
          <w:tab w:val="left" w:pos="567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734A9F">
        <w:rPr>
          <w:sz w:val="28"/>
          <w:szCs w:val="28"/>
        </w:rPr>
        <w:t xml:space="preserve">  </w:t>
      </w:r>
      <w:r w:rsidR="00E87A5D" w:rsidRPr="00734A9F">
        <w:rPr>
          <w:sz w:val="28"/>
          <w:szCs w:val="28"/>
        </w:rPr>
        <w:t xml:space="preserve">1. </w:t>
      </w:r>
      <w:r w:rsidR="007B2333" w:rsidRPr="00734A9F">
        <w:rPr>
          <w:sz w:val="28"/>
          <w:szCs w:val="28"/>
        </w:rPr>
        <w:t xml:space="preserve">Утвердить </w:t>
      </w:r>
      <w:r w:rsidR="001F15FF" w:rsidRPr="00734A9F">
        <w:rPr>
          <w:sz w:val="28"/>
          <w:szCs w:val="28"/>
        </w:rPr>
        <w:t xml:space="preserve">методику </w:t>
      </w:r>
      <w:r w:rsidR="00734A9F" w:rsidRPr="00734A9F">
        <w:rPr>
          <w:sz w:val="28"/>
          <w:szCs w:val="28"/>
        </w:rPr>
        <w:t>расчета годовой арендной платы за пользование объектами нежилого фонда и объектами коммунального назначения, находящимися в собственности муниципального образования «Город Гатчина» Гатчинского муниципального района Ленинградской о</w:t>
      </w:r>
      <w:r w:rsidR="00734A9F">
        <w:rPr>
          <w:sz w:val="28"/>
          <w:szCs w:val="28"/>
        </w:rPr>
        <w:t>бласти согласно приложению к настоящему решению</w:t>
      </w:r>
      <w:r w:rsidR="00006350">
        <w:rPr>
          <w:sz w:val="28"/>
          <w:szCs w:val="28"/>
        </w:rPr>
        <w:t>.</w:t>
      </w:r>
    </w:p>
    <w:p w:rsidR="00EB1AF9" w:rsidRDefault="00612E40" w:rsidP="00006350">
      <w:pPr>
        <w:pStyle w:val="21"/>
        <w:tabs>
          <w:tab w:val="left" w:pos="-2340"/>
          <w:tab w:val="left" w:pos="567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FF2">
        <w:rPr>
          <w:sz w:val="28"/>
          <w:szCs w:val="28"/>
        </w:rPr>
        <w:t xml:space="preserve">2. </w:t>
      </w:r>
      <w:r w:rsidR="00393823">
        <w:rPr>
          <w:sz w:val="28"/>
          <w:szCs w:val="28"/>
        </w:rPr>
        <w:t>Признать</w:t>
      </w:r>
      <w:r w:rsidR="00A23FF2">
        <w:rPr>
          <w:sz w:val="28"/>
          <w:szCs w:val="28"/>
        </w:rPr>
        <w:t xml:space="preserve"> утратившим</w:t>
      </w:r>
      <w:r w:rsidR="00EB1AF9">
        <w:rPr>
          <w:sz w:val="28"/>
          <w:szCs w:val="28"/>
        </w:rPr>
        <w:t>и</w:t>
      </w:r>
      <w:r w:rsidR="00A23FF2">
        <w:rPr>
          <w:sz w:val="28"/>
          <w:szCs w:val="28"/>
        </w:rPr>
        <w:t xml:space="preserve"> силу</w:t>
      </w:r>
      <w:r w:rsidR="00EB1AF9">
        <w:rPr>
          <w:sz w:val="28"/>
          <w:szCs w:val="28"/>
        </w:rPr>
        <w:t>:</w:t>
      </w:r>
    </w:p>
    <w:p w:rsidR="00734A9F" w:rsidRDefault="00EB1AF9" w:rsidP="00006350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4A9F">
        <w:rPr>
          <w:sz w:val="28"/>
          <w:szCs w:val="28"/>
        </w:rPr>
        <w:t>1</w:t>
      </w:r>
      <w:r>
        <w:rPr>
          <w:sz w:val="28"/>
          <w:szCs w:val="28"/>
        </w:rPr>
        <w:t xml:space="preserve">. решение </w:t>
      </w:r>
      <w:r w:rsidR="00734A9F">
        <w:rPr>
          <w:sz w:val="28"/>
          <w:szCs w:val="28"/>
        </w:rPr>
        <w:t>с</w:t>
      </w:r>
      <w:r>
        <w:rPr>
          <w:sz w:val="28"/>
          <w:szCs w:val="28"/>
        </w:rPr>
        <w:t>овета депутатов муниципального образования «Город Гатчина» Гатчинского муниципального района Ленинградской области от 27.04.2006 № 64 «Об утверждении Положения о порядке сдачи в аренду объектов не</w:t>
      </w:r>
      <w:r w:rsidR="00734A9F">
        <w:rPr>
          <w:sz w:val="28"/>
          <w:szCs w:val="28"/>
        </w:rPr>
        <w:t xml:space="preserve">  жилого фонда муниципальной собственности»;</w:t>
      </w:r>
    </w:p>
    <w:p w:rsidR="00734A9F" w:rsidRDefault="00734A9F" w:rsidP="00006350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решение совета депутатов муниципального образования «Город Гатчина» Гатчинского района Ленинградской области от 29.11.2006 № 107 «О внесении изменений и дополнений в «Методику расчета годовой арендной платы за пользование  нежилыми помещениями (зданиями, объектами, сооружениями), находящимися в муниципальной собственности», </w:t>
      </w:r>
      <w:r>
        <w:rPr>
          <w:sz w:val="28"/>
          <w:szCs w:val="28"/>
        </w:rPr>
        <w:lastRenderedPageBreak/>
        <w:t xml:space="preserve">утвержденную решением </w:t>
      </w:r>
      <w:r w:rsidR="00006350">
        <w:rPr>
          <w:sz w:val="28"/>
          <w:szCs w:val="28"/>
        </w:rPr>
        <w:t>с</w:t>
      </w:r>
      <w:r>
        <w:rPr>
          <w:sz w:val="28"/>
          <w:szCs w:val="28"/>
        </w:rPr>
        <w:t>овета депутатов МО «Город Гатчина» № 64 от 27 апреля 2006г.»;</w:t>
      </w:r>
    </w:p>
    <w:p w:rsidR="00734A9F" w:rsidRDefault="00734A9F" w:rsidP="00006350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</w:p>
    <w:p w:rsidR="00EB1AF9" w:rsidRDefault="00EB1AF9" w:rsidP="00006350">
      <w:pPr>
        <w:pStyle w:val="21"/>
        <w:numPr>
          <w:ilvl w:val="1"/>
          <w:numId w:val="9"/>
        </w:numPr>
        <w:tabs>
          <w:tab w:val="left" w:pos="-2340"/>
        </w:tabs>
        <w:spacing w:line="240" w:lineRule="auto"/>
        <w:ind w:left="0" w:right="-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</w:t>
      </w:r>
      <w:r w:rsidR="00734A9F">
        <w:rPr>
          <w:sz w:val="28"/>
          <w:szCs w:val="28"/>
        </w:rPr>
        <w:t>с</w:t>
      </w:r>
      <w:r>
        <w:rPr>
          <w:sz w:val="28"/>
          <w:szCs w:val="28"/>
        </w:rPr>
        <w:t>овета депутатов муниципального образования «Город Гатчина» Гатчинского муниципального района Ленинградской области от 25.04.2007 № 35 «О внесении изменений и дополнений в «Положение о порядке сдачи в аренду объектов нежилого фонда муниципальной собственности», утвержденное решением Совета депутатов МО «Город Гатчина» от 27.04.2006 г. № 64 (в ред.</w:t>
      </w:r>
      <w:r w:rsidR="00FD551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Совета депутатов МО «Город Гатчина» от 29.11.2006 № 107)».</w:t>
      </w:r>
      <w:proofErr w:type="gramEnd"/>
    </w:p>
    <w:p w:rsidR="00121506" w:rsidRDefault="00EB1AF9" w:rsidP="00006350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3FF2">
        <w:rPr>
          <w:sz w:val="28"/>
          <w:szCs w:val="28"/>
        </w:rPr>
        <w:t>3</w:t>
      </w:r>
      <w:r w:rsidR="00121506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657717" w:rsidRPr="00FC3E24" w:rsidRDefault="00657717" w:rsidP="00006350">
      <w:pPr>
        <w:ind w:right="-5" w:firstLine="540"/>
        <w:jc w:val="both"/>
        <w:rPr>
          <w:sz w:val="16"/>
          <w:szCs w:val="16"/>
        </w:rPr>
      </w:pPr>
    </w:p>
    <w:p w:rsidR="0034626A" w:rsidRDefault="0034626A" w:rsidP="00006350">
      <w:pPr>
        <w:ind w:firstLine="540"/>
        <w:rPr>
          <w:sz w:val="28"/>
          <w:szCs w:val="28"/>
        </w:rPr>
      </w:pPr>
    </w:p>
    <w:p w:rsidR="0034626A" w:rsidRDefault="0034626A" w:rsidP="00006350">
      <w:pPr>
        <w:ind w:firstLine="540"/>
        <w:rPr>
          <w:sz w:val="28"/>
          <w:szCs w:val="28"/>
        </w:rPr>
      </w:pPr>
    </w:p>
    <w:p w:rsidR="00BA6083" w:rsidRDefault="00BA6083" w:rsidP="00006350">
      <w:pPr>
        <w:ind w:right="-5" w:firstLine="540"/>
        <w:jc w:val="both"/>
        <w:rPr>
          <w:sz w:val="28"/>
          <w:szCs w:val="28"/>
        </w:rPr>
      </w:pPr>
    </w:p>
    <w:p w:rsidR="00BA6083" w:rsidRDefault="00BA6083" w:rsidP="00006350">
      <w:pPr>
        <w:ind w:right="-5" w:firstLine="540"/>
        <w:jc w:val="both"/>
        <w:rPr>
          <w:sz w:val="28"/>
          <w:szCs w:val="28"/>
        </w:rPr>
      </w:pPr>
    </w:p>
    <w:p w:rsidR="00677B6B" w:rsidRPr="00A16D39" w:rsidRDefault="00677B6B" w:rsidP="00677B6B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A16D39">
        <w:rPr>
          <w:b/>
          <w:sz w:val="28"/>
          <w:szCs w:val="28"/>
        </w:rPr>
        <w:t xml:space="preserve">Глава МО «Город Гатчина» - </w:t>
      </w:r>
    </w:p>
    <w:p w:rsidR="00677B6B" w:rsidRPr="00A16D39" w:rsidRDefault="00677B6B" w:rsidP="00677B6B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A16D39">
        <w:rPr>
          <w:b/>
          <w:sz w:val="28"/>
          <w:szCs w:val="28"/>
        </w:rPr>
        <w:t xml:space="preserve">председатель совета депутатов </w:t>
      </w:r>
    </w:p>
    <w:p w:rsidR="00677B6B" w:rsidRPr="00A16D39" w:rsidRDefault="00677B6B" w:rsidP="00677B6B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A16D39">
        <w:rPr>
          <w:b/>
          <w:sz w:val="28"/>
          <w:szCs w:val="28"/>
        </w:rPr>
        <w:t>МО «Город Гатчина»                                                            В.А.Филоненко</w:t>
      </w:r>
    </w:p>
    <w:p w:rsidR="00BA6083" w:rsidRDefault="00BA6083" w:rsidP="00006350">
      <w:pPr>
        <w:ind w:right="-5" w:firstLine="540"/>
        <w:jc w:val="both"/>
        <w:rPr>
          <w:sz w:val="28"/>
          <w:szCs w:val="28"/>
        </w:rPr>
      </w:pPr>
    </w:p>
    <w:p w:rsidR="00BA6083" w:rsidRDefault="00BA6083" w:rsidP="00006350">
      <w:pPr>
        <w:ind w:right="-5" w:firstLine="540"/>
        <w:jc w:val="both"/>
        <w:rPr>
          <w:sz w:val="28"/>
          <w:szCs w:val="28"/>
        </w:rPr>
      </w:pPr>
    </w:p>
    <w:p w:rsidR="00BA6083" w:rsidRDefault="00BA6083" w:rsidP="00006350">
      <w:pPr>
        <w:ind w:right="-5" w:firstLine="540"/>
        <w:jc w:val="both"/>
        <w:rPr>
          <w:sz w:val="28"/>
          <w:szCs w:val="28"/>
        </w:rPr>
      </w:pPr>
    </w:p>
    <w:p w:rsidR="00BA6083" w:rsidRDefault="00BA6083" w:rsidP="00006350">
      <w:pPr>
        <w:ind w:right="-5" w:firstLine="540"/>
        <w:jc w:val="both"/>
        <w:rPr>
          <w:sz w:val="28"/>
          <w:szCs w:val="28"/>
        </w:rPr>
      </w:pPr>
    </w:p>
    <w:p w:rsidR="00BA6083" w:rsidRDefault="00BA6083" w:rsidP="00006350">
      <w:pPr>
        <w:ind w:right="-5" w:firstLine="540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BA6083" w:rsidRDefault="00BA6083" w:rsidP="00FC3E24">
      <w:pPr>
        <w:ind w:right="-5"/>
        <w:jc w:val="both"/>
        <w:rPr>
          <w:sz w:val="28"/>
          <w:szCs w:val="28"/>
        </w:rPr>
      </w:pPr>
    </w:p>
    <w:p w:rsidR="00FD5513" w:rsidRDefault="00FD5513" w:rsidP="00FC3E24">
      <w:pPr>
        <w:ind w:right="-5"/>
        <w:jc w:val="both"/>
        <w:rPr>
          <w:sz w:val="28"/>
          <w:szCs w:val="28"/>
        </w:rPr>
      </w:pPr>
    </w:p>
    <w:p w:rsidR="00FD5513" w:rsidRDefault="00FD5513" w:rsidP="00FC3E24">
      <w:pPr>
        <w:ind w:right="-5"/>
        <w:jc w:val="both"/>
        <w:rPr>
          <w:sz w:val="28"/>
          <w:szCs w:val="28"/>
        </w:rPr>
      </w:pPr>
    </w:p>
    <w:p w:rsidR="00FD5513" w:rsidRDefault="00FD5513" w:rsidP="00FC3E24">
      <w:pPr>
        <w:ind w:right="-5"/>
        <w:jc w:val="both"/>
        <w:rPr>
          <w:sz w:val="28"/>
          <w:szCs w:val="28"/>
        </w:rPr>
      </w:pPr>
    </w:p>
    <w:p w:rsidR="00337A50" w:rsidRPr="00572FDE" w:rsidRDefault="00BA434F" w:rsidP="00337A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37A50" w:rsidRDefault="00337A50" w:rsidP="00337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FD5513">
        <w:rPr>
          <w:sz w:val="28"/>
          <w:szCs w:val="28"/>
        </w:rPr>
        <w:t>с</w:t>
      </w:r>
      <w:r>
        <w:rPr>
          <w:sz w:val="28"/>
          <w:szCs w:val="28"/>
        </w:rPr>
        <w:t>овета депутатов</w:t>
      </w:r>
    </w:p>
    <w:p w:rsidR="00337A50" w:rsidRDefault="00BA434F" w:rsidP="00337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r w:rsidR="00DD5B63">
        <w:rPr>
          <w:sz w:val="28"/>
          <w:szCs w:val="28"/>
        </w:rPr>
        <w:t xml:space="preserve"> </w:t>
      </w:r>
      <w:r w:rsidR="00337A50">
        <w:rPr>
          <w:sz w:val="28"/>
          <w:szCs w:val="28"/>
        </w:rPr>
        <w:t>Гатчин</w:t>
      </w:r>
      <w:r w:rsidR="00BE76A2">
        <w:rPr>
          <w:sz w:val="28"/>
          <w:szCs w:val="28"/>
        </w:rPr>
        <w:t>а»</w:t>
      </w:r>
    </w:p>
    <w:p w:rsidR="00337A50" w:rsidRDefault="00337A50" w:rsidP="00337A5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7B6B">
        <w:rPr>
          <w:sz w:val="28"/>
          <w:szCs w:val="28"/>
        </w:rPr>
        <w:t>04.05.2016</w:t>
      </w:r>
      <w:r>
        <w:rPr>
          <w:sz w:val="28"/>
          <w:szCs w:val="28"/>
        </w:rPr>
        <w:t xml:space="preserve"> № </w:t>
      </w:r>
      <w:r w:rsidR="00677B6B">
        <w:rPr>
          <w:sz w:val="28"/>
          <w:szCs w:val="28"/>
        </w:rPr>
        <w:t>27</w:t>
      </w:r>
    </w:p>
    <w:p w:rsidR="00337A50" w:rsidRDefault="00337A50" w:rsidP="00337A50">
      <w:pPr>
        <w:jc w:val="center"/>
        <w:rPr>
          <w:b/>
          <w:sz w:val="28"/>
          <w:szCs w:val="28"/>
        </w:rPr>
      </w:pPr>
    </w:p>
    <w:p w:rsidR="00337A50" w:rsidRPr="00572FDE" w:rsidRDefault="00337A50" w:rsidP="00FD5513">
      <w:pPr>
        <w:jc w:val="center"/>
        <w:rPr>
          <w:b/>
          <w:sz w:val="28"/>
          <w:szCs w:val="28"/>
        </w:rPr>
      </w:pPr>
      <w:r w:rsidRPr="00572FDE">
        <w:rPr>
          <w:b/>
          <w:sz w:val="28"/>
          <w:szCs w:val="28"/>
        </w:rPr>
        <w:t>МЕТОДИКА</w:t>
      </w:r>
    </w:p>
    <w:p w:rsidR="00FD5513" w:rsidRPr="00FD5513" w:rsidRDefault="00FD5513" w:rsidP="00FD5513">
      <w:pPr>
        <w:pStyle w:val="21"/>
        <w:tabs>
          <w:tab w:val="left" w:pos="708"/>
        </w:tabs>
        <w:spacing w:line="240" w:lineRule="auto"/>
        <w:jc w:val="center"/>
        <w:rPr>
          <w:b/>
          <w:sz w:val="28"/>
          <w:szCs w:val="28"/>
        </w:rPr>
      </w:pPr>
      <w:r w:rsidRPr="00FD5513">
        <w:rPr>
          <w:b/>
          <w:sz w:val="28"/>
          <w:szCs w:val="28"/>
        </w:rPr>
        <w:t>расчета годовой арендной платы за пользование объектами нежилого фонда и объектами коммунального назначения, находящимися в собственности муниципального образования «Город Гатчина» Гатчинского муниципального района Ленинградской области</w:t>
      </w:r>
    </w:p>
    <w:p w:rsidR="00337A50" w:rsidRPr="00572FDE" w:rsidRDefault="00337A50" w:rsidP="0019328F">
      <w:pPr>
        <w:jc w:val="center"/>
        <w:rPr>
          <w:b/>
          <w:sz w:val="28"/>
          <w:szCs w:val="28"/>
        </w:rPr>
      </w:pPr>
    </w:p>
    <w:p w:rsidR="00337A50" w:rsidRPr="00572FDE" w:rsidRDefault="00337A50" w:rsidP="0019328F">
      <w:pPr>
        <w:pStyle w:val="ac"/>
        <w:numPr>
          <w:ilvl w:val="0"/>
          <w:numId w:val="5"/>
        </w:numPr>
        <w:spacing w:after="160" w:line="25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72FD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37A50" w:rsidRDefault="00337A50" w:rsidP="00337A50">
      <w:pPr>
        <w:jc w:val="both"/>
        <w:rPr>
          <w:sz w:val="28"/>
        </w:rPr>
      </w:pPr>
      <w:r>
        <w:rPr>
          <w:sz w:val="28"/>
        </w:rPr>
        <w:t xml:space="preserve">        1.1. Методика расчета годовой арендной платы за пользование объектами нежилого  фонда и объектами коммунального назначения, находящимися в собственности </w:t>
      </w:r>
      <w:r w:rsidR="00FD5513" w:rsidRPr="00FD5513">
        <w:rPr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2F6B42">
        <w:rPr>
          <w:sz w:val="28"/>
        </w:rPr>
        <w:t xml:space="preserve"> </w:t>
      </w:r>
      <w:r>
        <w:rPr>
          <w:sz w:val="28"/>
        </w:rPr>
        <w:t>(далее – Методика),  регламентирует порядок расчета арендной платы за объекты нежилого фонда и  объекты коммунального назначения (далее – Объект).</w:t>
      </w:r>
    </w:p>
    <w:p w:rsidR="00337A50" w:rsidRDefault="00337A50" w:rsidP="00337A50">
      <w:pPr>
        <w:jc w:val="both"/>
        <w:rPr>
          <w:sz w:val="28"/>
        </w:rPr>
      </w:pPr>
      <w:r>
        <w:rPr>
          <w:sz w:val="28"/>
        </w:rPr>
        <w:t xml:space="preserve">        1.2. Объекты нежилого фонда – здания,</w:t>
      </w:r>
      <w:r w:rsidR="006C588C">
        <w:rPr>
          <w:sz w:val="28"/>
        </w:rPr>
        <w:t xml:space="preserve"> строения, сооружения, </w:t>
      </w:r>
      <w:r>
        <w:rPr>
          <w:sz w:val="28"/>
        </w:rPr>
        <w:t xml:space="preserve"> нежилые помещения, части нежилых помещений, встроенные нежилые помещения в многоквартирных жилых домах, части встроенных нежилых помещений в многоквартирных жилых домах.</w:t>
      </w:r>
    </w:p>
    <w:p w:rsidR="00337A50" w:rsidRPr="00572FDE" w:rsidRDefault="00337A50" w:rsidP="00337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FDE">
        <w:rPr>
          <w:rFonts w:ascii="Times New Roman" w:hAnsi="Times New Roman" w:cs="Times New Roman"/>
          <w:sz w:val="28"/>
          <w:szCs w:val="28"/>
        </w:rPr>
        <w:t>1.3. Объекты коммунального назначения – объекты  электро-, тепло-, газо- и водоснабжения населения, водоотведения.</w:t>
      </w:r>
    </w:p>
    <w:p w:rsidR="00337A50" w:rsidRPr="00572FDE" w:rsidRDefault="00337A50" w:rsidP="00337A50">
      <w:pPr>
        <w:jc w:val="both"/>
        <w:rPr>
          <w:sz w:val="28"/>
          <w:szCs w:val="28"/>
        </w:rPr>
      </w:pPr>
    </w:p>
    <w:p w:rsidR="00337A50" w:rsidRDefault="00337A50" w:rsidP="00337A50">
      <w:pPr>
        <w:pStyle w:val="ac"/>
        <w:numPr>
          <w:ilvl w:val="0"/>
          <w:numId w:val="5"/>
        </w:numPr>
        <w:spacing w:after="160" w:line="25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Определение годовой арендной платы за Объект</w:t>
      </w:r>
    </w:p>
    <w:p w:rsidR="00337A50" w:rsidRDefault="00337A50" w:rsidP="00337A50">
      <w:pPr>
        <w:pStyle w:val="ac"/>
        <w:numPr>
          <w:ilvl w:val="1"/>
          <w:numId w:val="5"/>
        </w:numPr>
        <w:spacing w:after="160" w:line="25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Годовая арендная плата за пользование Объектом, устанавливается для юридических, физических лиц, в том числе индивидуальных предпринимателей,  не ниже уровня, рассчитанного по формуле:</w:t>
      </w:r>
    </w:p>
    <w:p w:rsidR="00337A50" w:rsidRDefault="00337A50" w:rsidP="00337A50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Агод</w:t>
      </w:r>
      <w:proofErr w:type="spellEnd"/>
      <w:r>
        <w:rPr>
          <w:b/>
          <w:sz w:val="28"/>
        </w:rPr>
        <w:t xml:space="preserve">. = </w:t>
      </w:r>
      <w:r>
        <w:rPr>
          <w:b/>
          <w:sz w:val="28"/>
          <w:lang w:val="en-US"/>
        </w:rPr>
        <w:t>S</w:t>
      </w:r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протяж</w:t>
      </w:r>
      <w:proofErr w:type="spellEnd"/>
      <w:r>
        <w:rPr>
          <w:b/>
          <w:sz w:val="28"/>
        </w:rPr>
        <w:t>.)*</w:t>
      </w:r>
      <w:r w:rsidR="009D3C21">
        <w:rPr>
          <w:b/>
          <w:sz w:val="28"/>
        </w:rPr>
        <w:t>(</w:t>
      </w:r>
      <w:r>
        <w:rPr>
          <w:b/>
          <w:sz w:val="28"/>
          <w:lang w:val="en-US"/>
        </w:rPr>
        <w:t>K</w:t>
      </w:r>
      <w:r>
        <w:rPr>
          <w:b/>
          <w:sz w:val="28"/>
        </w:rPr>
        <w:t>баз.*</w:t>
      </w:r>
      <w:proofErr w:type="spellStart"/>
      <w:r w:rsidR="009D3C21">
        <w:rPr>
          <w:b/>
          <w:sz w:val="28"/>
        </w:rPr>
        <w:t>Кп</w:t>
      </w:r>
      <w:proofErr w:type="spellEnd"/>
      <w:r w:rsidR="009D3C21">
        <w:rPr>
          <w:b/>
          <w:sz w:val="28"/>
        </w:rPr>
        <w:t>*</w:t>
      </w:r>
      <w:proofErr w:type="spellStart"/>
      <w:r>
        <w:rPr>
          <w:b/>
          <w:sz w:val="28"/>
        </w:rPr>
        <w:t>Кк</w:t>
      </w:r>
      <w:proofErr w:type="spellEnd"/>
      <w:r>
        <w:rPr>
          <w:b/>
          <w:sz w:val="28"/>
        </w:rPr>
        <w:t>.*К</w:t>
      </w:r>
      <w:r w:rsidR="006D1387">
        <w:rPr>
          <w:b/>
          <w:sz w:val="28"/>
          <w:lang w:val="en-US"/>
        </w:rPr>
        <w:t>s</w:t>
      </w:r>
      <w:r>
        <w:rPr>
          <w:b/>
          <w:sz w:val="28"/>
        </w:rPr>
        <w:t>*</w:t>
      </w:r>
      <w:proofErr w:type="spellStart"/>
      <w:r>
        <w:rPr>
          <w:b/>
          <w:sz w:val="28"/>
        </w:rPr>
        <w:t>Квд</w:t>
      </w:r>
      <w:r w:rsidR="006659CE">
        <w:rPr>
          <w:b/>
          <w:sz w:val="28"/>
        </w:rPr>
        <w:t>+Ам</w:t>
      </w:r>
      <w:proofErr w:type="spellEnd"/>
      <w:r w:rsidR="009D3C21" w:rsidRPr="009D3C21">
        <w:rPr>
          <w:b/>
          <w:sz w:val="28"/>
        </w:rPr>
        <w:t>)</w:t>
      </w:r>
      <w:r>
        <w:rPr>
          <w:b/>
          <w:sz w:val="28"/>
        </w:rPr>
        <w:t xml:space="preserve">, где </w:t>
      </w:r>
    </w:p>
    <w:p w:rsidR="006659CE" w:rsidRPr="00A74B7E" w:rsidRDefault="006659CE" w:rsidP="00337A50">
      <w:pPr>
        <w:jc w:val="both"/>
        <w:rPr>
          <w:sz w:val="28"/>
        </w:rPr>
      </w:pPr>
      <w:proofErr w:type="spellStart"/>
      <w:r>
        <w:rPr>
          <w:b/>
          <w:sz w:val="28"/>
        </w:rPr>
        <w:t>Агод</w:t>
      </w:r>
      <w:proofErr w:type="spellEnd"/>
      <w:r>
        <w:rPr>
          <w:b/>
          <w:sz w:val="28"/>
        </w:rPr>
        <w:t>.</w:t>
      </w:r>
      <w:r w:rsidR="00A74B7E">
        <w:rPr>
          <w:b/>
          <w:sz w:val="28"/>
        </w:rPr>
        <w:t xml:space="preserve"> – </w:t>
      </w:r>
      <w:r w:rsidR="00A74B7E" w:rsidRPr="00A74B7E">
        <w:rPr>
          <w:sz w:val="28"/>
        </w:rPr>
        <w:t>размер годовой арендной платы за пользование объектами нежилого фонда и объектами коммунального назначения;</w:t>
      </w:r>
    </w:p>
    <w:p w:rsidR="00337A50" w:rsidRDefault="00337A50" w:rsidP="00337A50">
      <w:pPr>
        <w:jc w:val="both"/>
        <w:rPr>
          <w:sz w:val="28"/>
        </w:rPr>
      </w:pPr>
      <w:proofErr w:type="gramStart"/>
      <w:r>
        <w:rPr>
          <w:b/>
          <w:sz w:val="28"/>
          <w:lang w:val="en-US"/>
        </w:rPr>
        <w:t>S</w:t>
      </w:r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протяж</w:t>
      </w:r>
      <w:proofErr w:type="spellEnd"/>
      <w:r>
        <w:rPr>
          <w:b/>
          <w:sz w:val="28"/>
        </w:rPr>
        <w:t>.)</w:t>
      </w:r>
      <w:proofErr w:type="gramEnd"/>
      <w:r>
        <w:rPr>
          <w:b/>
          <w:sz w:val="28"/>
        </w:rPr>
        <w:t xml:space="preserve"> - </w:t>
      </w:r>
      <w:r>
        <w:rPr>
          <w:sz w:val="28"/>
        </w:rPr>
        <w:t xml:space="preserve">арендуемая площадь </w:t>
      </w:r>
      <w:r w:rsidR="0050323E">
        <w:rPr>
          <w:sz w:val="28"/>
        </w:rPr>
        <w:t xml:space="preserve">объекта </w:t>
      </w:r>
      <w:r>
        <w:rPr>
          <w:sz w:val="28"/>
        </w:rPr>
        <w:t>(протяженность</w:t>
      </w:r>
      <w:r w:rsidR="0050323E">
        <w:rPr>
          <w:sz w:val="28"/>
        </w:rPr>
        <w:t xml:space="preserve"> линейного объекта коммунального назначения)</w:t>
      </w:r>
      <w:r>
        <w:rPr>
          <w:sz w:val="28"/>
        </w:rPr>
        <w:t>;</w:t>
      </w:r>
    </w:p>
    <w:p w:rsidR="00337A50" w:rsidRDefault="00337A50" w:rsidP="00337A50">
      <w:pPr>
        <w:jc w:val="both"/>
        <w:rPr>
          <w:sz w:val="28"/>
        </w:rPr>
      </w:pPr>
      <w:r>
        <w:rPr>
          <w:b/>
          <w:sz w:val="28"/>
        </w:rPr>
        <w:t xml:space="preserve">К баз. – </w:t>
      </w:r>
      <w:r>
        <w:rPr>
          <w:sz w:val="28"/>
        </w:rPr>
        <w:t>размер базовой ставки годовой арендной платы за один квадратный метр общей нежилой площади</w:t>
      </w:r>
      <w:r w:rsidR="0050323E">
        <w:rPr>
          <w:sz w:val="28"/>
        </w:rPr>
        <w:t xml:space="preserve"> и (или) один погонный метр линейного объекта</w:t>
      </w:r>
      <w:r>
        <w:rPr>
          <w:sz w:val="28"/>
        </w:rPr>
        <w:t>;</w:t>
      </w:r>
    </w:p>
    <w:p w:rsidR="00337A50" w:rsidRDefault="00337A50" w:rsidP="00337A50">
      <w:pPr>
        <w:jc w:val="both"/>
        <w:rPr>
          <w:sz w:val="28"/>
        </w:rPr>
      </w:pPr>
      <w:r w:rsidRPr="007D6739">
        <w:rPr>
          <w:b/>
          <w:sz w:val="28"/>
        </w:rPr>
        <w:t>К баз.</w:t>
      </w:r>
      <w:r w:rsidRPr="007D6739">
        <w:rPr>
          <w:sz w:val="28"/>
        </w:rPr>
        <w:t xml:space="preserve">   </w:t>
      </w:r>
      <w:r w:rsidR="00761ACF" w:rsidRPr="007D6739">
        <w:rPr>
          <w:sz w:val="28"/>
        </w:rPr>
        <w:t>у</w:t>
      </w:r>
      <w:r w:rsidR="0050323E" w:rsidRPr="007D6739">
        <w:rPr>
          <w:sz w:val="28"/>
        </w:rPr>
        <w:t>станавливается постановлением администрации Гатчинского муниципального района</w:t>
      </w:r>
      <w:r w:rsidR="00761ACF" w:rsidRPr="007D6739">
        <w:rPr>
          <w:sz w:val="28"/>
        </w:rPr>
        <w:t xml:space="preserve">, исходя из уровня цен на рынке недвижимости </w:t>
      </w:r>
      <w:r w:rsidR="004414D9" w:rsidRPr="007D6739">
        <w:rPr>
          <w:sz w:val="28"/>
        </w:rPr>
        <w:t xml:space="preserve">с учетом уровня инфляции </w:t>
      </w:r>
      <w:r w:rsidR="00761ACF" w:rsidRPr="007D6739">
        <w:rPr>
          <w:sz w:val="28"/>
        </w:rPr>
        <w:t>и экономической ситуации</w:t>
      </w:r>
      <w:r w:rsidRPr="007D6739">
        <w:rPr>
          <w:sz w:val="28"/>
        </w:rPr>
        <w:t>;</w:t>
      </w:r>
    </w:p>
    <w:p w:rsidR="007D6739" w:rsidRDefault="00337A50" w:rsidP="00337A50">
      <w:pPr>
        <w:jc w:val="both"/>
        <w:rPr>
          <w:sz w:val="28"/>
        </w:rPr>
      </w:pPr>
      <w:proofErr w:type="spellStart"/>
      <w:r>
        <w:rPr>
          <w:b/>
          <w:sz w:val="28"/>
        </w:rPr>
        <w:t>К</w:t>
      </w:r>
      <w:r w:rsidR="009D3C21">
        <w:rPr>
          <w:b/>
          <w:sz w:val="28"/>
        </w:rPr>
        <w:t>п</w:t>
      </w:r>
      <w:proofErr w:type="spellEnd"/>
      <w:r>
        <w:rPr>
          <w:b/>
          <w:sz w:val="28"/>
        </w:rPr>
        <w:t xml:space="preserve">. – </w:t>
      </w:r>
      <w:r>
        <w:rPr>
          <w:sz w:val="28"/>
        </w:rPr>
        <w:t xml:space="preserve">коэффициент </w:t>
      </w:r>
      <w:r w:rsidR="009D3C21">
        <w:rPr>
          <w:sz w:val="28"/>
        </w:rPr>
        <w:t>посещаемости</w:t>
      </w:r>
      <w:r>
        <w:rPr>
          <w:sz w:val="28"/>
        </w:rPr>
        <w:t xml:space="preserve"> </w:t>
      </w:r>
      <w:r w:rsidR="009D3C21">
        <w:rPr>
          <w:sz w:val="28"/>
        </w:rPr>
        <w:t>устанавливается в зависимости от места расположения объекта аренды:</w:t>
      </w:r>
    </w:p>
    <w:p w:rsidR="0019328F" w:rsidRDefault="0019328F" w:rsidP="00337A50">
      <w:pPr>
        <w:jc w:val="both"/>
        <w:rPr>
          <w:sz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7797"/>
        <w:gridCol w:w="1099"/>
      </w:tblGrid>
      <w:tr w:rsidR="009D3C21" w:rsidTr="009D3C21">
        <w:tc>
          <w:tcPr>
            <w:tcW w:w="675" w:type="dxa"/>
          </w:tcPr>
          <w:p w:rsidR="009D3C21" w:rsidRDefault="009D3C21" w:rsidP="009D3C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797" w:type="dxa"/>
          </w:tcPr>
          <w:p w:rsidR="009D3C21" w:rsidRDefault="009D3C21" w:rsidP="009D3C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 w:rsidR="009D73F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расположение объекта аренды</w:t>
            </w:r>
          </w:p>
        </w:tc>
        <w:tc>
          <w:tcPr>
            <w:tcW w:w="1099" w:type="dxa"/>
          </w:tcPr>
          <w:p w:rsidR="009D3C21" w:rsidRDefault="009D3C21" w:rsidP="009D3C21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Кп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9D3C21" w:rsidTr="009D3C21">
        <w:tc>
          <w:tcPr>
            <w:tcW w:w="675" w:type="dxa"/>
          </w:tcPr>
          <w:p w:rsidR="009D3C21" w:rsidRPr="009D3C21" w:rsidRDefault="009D3C21" w:rsidP="009D3C21">
            <w:pPr>
              <w:jc w:val="center"/>
            </w:pPr>
            <w:r w:rsidRPr="009D3C21">
              <w:t>1</w:t>
            </w:r>
          </w:p>
        </w:tc>
        <w:tc>
          <w:tcPr>
            <w:tcW w:w="7797" w:type="dxa"/>
          </w:tcPr>
          <w:p w:rsidR="009D3C21" w:rsidRPr="009D3C21" w:rsidRDefault="009D3C21" w:rsidP="009D3C21">
            <w:pPr>
              <w:jc w:val="center"/>
            </w:pPr>
            <w:r>
              <w:t>у</w:t>
            </w:r>
            <w:r w:rsidRPr="009D3C21">
              <w:t xml:space="preserve">л. Соборная, ул. Красная, ул. Карла Маркса ( от ул. Радищева до ул. Достоевского), ул. Радищева, ул. Гагарина, ( от ул. К. </w:t>
            </w:r>
            <w:proofErr w:type="spellStart"/>
            <w:r w:rsidRPr="009D3C21">
              <w:t>Марска</w:t>
            </w:r>
            <w:proofErr w:type="spellEnd"/>
            <w:r w:rsidRPr="009D3C21">
              <w:t xml:space="preserve"> до ул. Хохлова), Госпитальный пер., Революционный пер., ул. Урицкого (от ул. Радищева до ул. Леонова), ул. Володарского (от ул. Радищева до ул. Леонова), ул. Горького, ул. Достоевского, ул. Киргетова, пр.25 Октября, ул. 7-ой Армии (от пр.25 Октября до ул. К. Маркса)</w:t>
            </w:r>
          </w:p>
        </w:tc>
        <w:tc>
          <w:tcPr>
            <w:tcW w:w="1099" w:type="dxa"/>
          </w:tcPr>
          <w:p w:rsidR="009D3C21" w:rsidRPr="006B5CA3" w:rsidRDefault="009D3C21" w:rsidP="009D3C21">
            <w:pPr>
              <w:jc w:val="center"/>
              <w:rPr>
                <w:b/>
                <w:sz w:val="28"/>
                <w:szCs w:val="28"/>
              </w:rPr>
            </w:pPr>
            <w:r w:rsidRPr="006B5CA3">
              <w:rPr>
                <w:b/>
                <w:sz w:val="28"/>
                <w:szCs w:val="28"/>
              </w:rPr>
              <w:t>2</w:t>
            </w:r>
          </w:p>
        </w:tc>
      </w:tr>
      <w:tr w:rsidR="009D3C21" w:rsidTr="009D3C21">
        <w:tc>
          <w:tcPr>
            <w:tcW w:w="675" w:type="dxa"/>
          </w:tcPr>
          <w:p w:rsidR="009D3C21" w:rsidRPr="00761B01" w:rsidRDefault="00D07FDD" w:rsidP="0067581C">
            <w:pPr>
              <w:jc w:val="center"/>
            </w:pPr>
            <w:r w:rsidRPr="00761B01">
              <w:t>2</w:t>
            </w:r>
          </w:p>
        </w:tc>
        <w:tc>
          <w:tcPr>
            <w:tcW w:w="7797" w:type="dxa"/>
          </w:tcPr>
          <w:p w:rsidR="009D3C21" w:rsidRPr="00761B01" w:rsidRDefault="0089372F" w:rsidP="00B938D2">
            <w:pPr>
              <w:jc w:val="both"/>
            </w:pPr>
            <w:r>
              <w:t>у</w:t>
            </w:r>
            <w:r w:rsidR="00D07FDD" w:rsidRPr="00761B01">
              <w:t xml:space="preserve">л. Чехова (от ул. К. </w:t>
            </w:r>
            <w:r w:rsidR="00B938D2">
              <w:t>М</w:t>
            </w:r>
            <w:r w:rsidR="00D07FDD" w:rsidRPr="00761B01">
              <w:t xml:space="preserve">аркса до ул. 7-ой Армии), ул. Волкова, ул. Володарского (от ул. К. Маркса до ул. Леонова и от ул. Радищева до ул. 7-ой Армии), ул. Урицкого </w:t>
            </w:r>
            <w:proofErr w:type="gramStart"/>
            <w:r w:rsidR="00D07FDD" w:rsidRPr="00761B01">
              <w:t xml:space="preserve">( </w:t>
            </w:r>
            <w:proofErr w:type="gramEnd"/>
            <w:r w:rsidR="00D07FDD" w:rsidRPr="00761B01">
              <w:t xml:space="preserve">от ул. Радищева до ул. 7-ой Армии), ул. Л. Шмидта, ул. Леонова, ул. Чкалова, ул. Гагарина (от ул. К. Маркса до ул. Урицкого), ул. Рощинская, ул. 7-ой Армии (от ул. Крупской до пр.25 Октября и от ул. К. Маркса до ул. Чехова), </w:t>
            </w:r>
            <w:proofErr w:type="spellStart"/>
            <w:r w:rsidR="00D07FDD" w:rsidRPr="00761B01">
              <w:t>Хохлово</w:t>
            </w:r>
            <w:proofErr w:type="spellEnd"/>
            <w:r w:rsidR="00D07FDD" w:rsidRPr="00761B01">
              <w:t xml:space="preserve"> поле ( ул. Крупской, ул. Хохлова, ул. Филиппова, пер</w:t>
            </w:r>
            <w:proofErr w:type="gramStart"/>
            <w:r w:rsidR="00D07FDD" w:rsidRPr="00761B01">
              <w:t>.С</w:t>
            </w:r>
            <w:proofErr w:type="gramEnd"/>
            <w:r w:rsidR="00D07FDD" w:rsidRPr="00761B01">
              <w:t xml:space="preserve">олнечный, ул. К. </w:t>
            </w:r>
            <w:proofErr w:type="spellStart"/>
            <w:r w:rsidR="00D07FDD" w:rsidRPr="00761B01">
              <w:t>Подрядчикова</w:t>
            </w:r>
            <w:proofErr w:type="spellEnd"/>
            <w:r w:rsidR="00D07FDD" w:rsidRPr="00761B01">
              <w:t xml:space="preserve">, ул. Константинова, ул. Проф. </w:t>
            </w:r>
            <w:proofErr w:type="spellStart"/>
            <w:r w:rsidR="00D07FDD" w:rsidRPr="00761B01">
              <w:t>Русинова</w:t>
            </w:r>
            <w:proofErr w:type="spellEnd"/>
            <w:r w:rsidR="00D07FDD" w:rsidRPr="00761B01">
              <w:t>), пер. Инженерный, ул. К. Маркса (от ул. Достоевского до Варшавского вокзала</w:t>
            </w:r>
            <w:r w:rsidR="00B938D2">
              <w:t>)</w:t>
            </w:r>
            <w:r w:rsidR="00761B01" w:rsidRPr="00761B01">
              <w:t>, микрорайон «Аэродром»</w:t>
            </w:r>
            <w:r w:rsidR="00D07FDD" w:rsidRPr="00761B01">
              <w:t xml:space="preserve"> </w:t>
            </w:r>
          </w:p>
        </w:tc>
        <w:tc>
          <w:tcPr>
            <w:tcW w:w="1099" w:type="dxa"/>
          </w:tcPr>
          <w:p w:rsidR="009D3C21" w:rsidRDefault="00761B01" w:rsidP="00761B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</w:t>
            </w:r>
          </w:p>
        </w:tc>
      </w:tr>
      <w:tr w:rsidR="009D3C21" w:rsidTr="009D3C21">
        <w:tc>
          <w:tcPr>
            <w:tcW w:w="675" w:type="dxa"/>
          </w:tcPr>
          <w:p w:rsidR="009D3C21" w:rsidRPr="00EE32D7" w:rsidRDefault="00EE32D7" w:rsidP="0067581C">
            <w:pPr>
              <w:jc w:val="center"/>
            </w:pPr>
            <w:r w:rsidRPr="00EE32D7">
              <w:t>3</w:t>
            </w:r>
          </w:p>
        </w:tc>
        <w:tc>
          <w:tcPr>
            <w:tcW w:w="7797" w:type="dxa"/>
          </w:tcPr>
          <w:p w:rsidR="009D3C21" w:rsidRPr="00EE32D7" w:rsidRDefault="00EE32D7" w:rsidP="00337A50">
            <w:pPr>
              <w:jc w:val="both"/>
            </w:pPr>
            <w:r w:rsidRPr="00EE32D7">
              <w:t xml:space="preserve">Ул. Киевская, Красноармейский пр., ул. Григорина, ул. Жемчужина, ул. Нестерова, ул. Ленинградская, </w:t>
            </w:r>
            <w:proofErr w:type="spellStart"/>
            <w:r w:rsidRPr="00EE32D7">
              <w:t>Мариенбург</w:t>
            </w:r>
            <w:proofErr w:type="spellEnd"/>
            <w:r w:rsidRPr="00EE32D7">
              <w:t xml:space="preserve">, </w:t>
            </w:r>
            <w:proofErr w:type="spellStart"/>
            <w:r w:rsidRPr="00EE32D7">
              <w:t>Химози</w:t>
            </w:r>
            <w:proofErr w:type="spellEnd"/>
            <w:r w:rsidRPr="00EE32D7">
              <w:t>, Большая Загвоздка, Малая Загвоздка</w:t>
            </w:r>
          </w:p>
        </w:tc>
        <w:tc>
          <w:tcPr>
            <w:tcW w:w="1099" w:type="dxa"/>
          </w:tcPr>
          <w:p w:rsidR="009D3C21" w:rsidRDefault="00EE32D7" w:rsidP="00EE32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1,1</w:t>
            </w:r>
          </w:p>
        </w:tc>
      </w:tr>
      <w:tr w:rsidR="009D3C21" w:rsidTr="009D3C21">
        <w:tc>
          <w:tcPr>
            <w:tcW w:w="675" w:type="dxa"/>
          </w:tcPr>
          <w:p w:rsidR="009D3C21" w:rsidRPr="002E1114" w:rsidRDefault="002E1114" w:rsidP="0067581C">
            <w:pPr>
              <w:jc w:val="center"/>
            </w:pPr>
            <w:r w:rsidRPr="002E1114">
              <w:t>4</w:t>
            </w:r>
          </w:p>
        </w:tc>
        <w:tc>
          <w:tcPr>
            <w:tcW w:w="7797" w:type="dxa"/>
          </w:tcPr>
          <w:p w:rsidR="009D3C21" w:rsidRPr="002E1114" w:rsidRDefault="002E1114" w:rsidP="002E1114">
            <w:pPr>
              <w:jc w:val="both"/>
            </w:pPr>
            <w:r w:rsidRPr="002E1114">
              <w:t>Для остальных</w:t>
            </w:r>
            <w:r>
              <w:t xml:space="preserve"> улиц и микрорайонов г. Гатчины (</w:t>
            </w:r>
            <w:r w:rsidRPr="002E1114">
              <w:t>кроме перечисленных в п.1,2,3</w:t>
            </w:r>
          </w:p>
        </w:tc>
        <w:tc>
          <w:tcPr>
            <w:tcW w:w="1099" w:type="dxa"/>
          </w:tcPr>
          <w:p w:rsidR="009D3C21" w:rsidRDefault="002E1114" w:rsidP="002E11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1,0</w:t>
            </w:r>
          </w:p>
        </w:tc>
      </w:tr>
    </w:tbl>
    <w:p w:rsidR="007D6739" w:rsidRPr="002E1114" w:rsidRDefault="002E1114" w:rsidP="00337A50">
      <w:pPr>
        <w:jc w:val="both"/>
        <w:rPr>
          <w:sz w:val="28"/>
        </w:rPr>
      </w:pPr>
      <w:proofErr w:type="spellStart"/>
      <w:r>
        <w:rPr>
          <w:b/>
          <w:sz w:val="28"/>
        </w:rPr>
        <w:t>Кп</w:t>
      </w:r>
      <w:proofErr w:type="spellEnd"/>
      <w:r>
        <w:rPr>
          <w:b/>
          <w:sz w:val="28"/>
        </w:rPr>
        <w:t xml:space="preserve">. </w:t>
      </w:r>
      <w:r w:rsidRPr="002E1114">
        <w:rPr>
          <w:sz w:val="28"/>
        </w:rPr>
        <w:t>не применяется при</w:t>
      </w:r>
      <w:r>
        <w:rPr>
          <w:b/>
          <w:sz w:val="28"/>
        </w:rPr>
        <w:t xml:space="preserve"> </w:t>
      </w:r>
      <w:r w:rsidRPr="002E1114">
        <w:rPr>
          <w:sz w:val="28"/>
        </w:rPr>
        <w:t>сдаче объектов в аренду общественным организациям, органам</w:t>
      </w:r>
      <w:r>
        <w:rPr>
          <w:sz w:val="28"/>
        </w:rPr>
        <w:t xml:space="preserve"> исполнительной власти всех уровней,  муниципальным учреждениям спорта и культуры, </w:t>
      </w:r>
      <w:r w:rsidRPr="00124958">
        <w:rPr>
          <w:sz w:val="28"/>
        </w:rPr>
        <w:t>обществам с ограниченной ответственностью с долей муниципалитета в уставном капитале более 50%</w:t>
      </w:r>
      <w:r w:rsidR="001C2355" w:rsidRPr="00124958">
        <w:rPr>
          <w:sz w:val="28"/>
        </w:rPr>
        <w:t>, а так же объектов коммунального назначения</w:t>
      </w:r>
      <w:r w:rsidRPr="00124958">
        <w:rPr>
          <w:sz w:val="28"/>
        </w:rPr>
        <w:t>.</w:t>
      </w:r>
      <w:r w:rsidRPr="002E1114">
        <w:rPr>
          <w:sz w:val="28"/>
        </w:rPr>
        <w:t xml:space="preserve"> </w:t>
      </w:r>
    </w:p>
    <w:p w:rsidR="009D3C21" w:rsidRPr="002E1114" w:rsidRDefault="009D3C21" w:rsidP="00826ED8">
      <w:pPr>
        <w:jc w:val="both"/>
        <w:rPr>
          <w:sz w:val="28"/>
        </w:rPr>
      </w:pPr>
    </w:p>
    <w:p w:rsidR="00337A50" w:rsidRDefault="00337A50" w:rsidP="00826ED8">
      <w:pPr>
        <w:jc w:val="both"/>
        <w:rPr>
          <w:sz w:val="28"/>
        </w:rPr>
      </w:pPr>
      <w:proofErr w:type="spellStart"/>
      <w:r>
        <w:rPr>
          <w:b/>
          <w:sz w:val="28"/>
        </w:rPr>
        <w:t>Кк</w:t>
      </w:r>
      <w:proofErr w:type="spellEnd"/>
      <w:r>
        <w:rPr>
          <w:b/>
          <w:sz w:val="28"/>
        </w:rPr>
        <w:t xml:space="preserve">. – </w:t>
      </w:r>
      <w:r>
        <w:rPr>
          <w:sz w:val="28"/>
        </w:rPr>
        <w:t xml:space="preserve">коэффициент комфортности </w:t>
      </w:r>
      <w:r w:rsidR="00E15D95">
        <w:rPr>
          <w:sz w:val="28"/>
        </w:rPr>
        <w:t xml:space="preserve">учитывает элементы благоустройства и </w:t>
      </w:r>
      <w:r w:rsidR="00826ED8">
        <w:rPr>
          <w:sz w:val="28"/>
        </w:rPr>
        <w:t xml:space="preserve">определяет </w:t>
      </w:r>
      <w:r>
        <w:rPr>
          <w:sz w:val="28"/>
        </w:rPr>
        <w:t xml:space="preserve">наличие </w:t>
      </w:r>
      <w:r w:rsidR="00826ED8">
        <w:rPr>
          <w:sz w:val="28"/>
        </w:rPr>
        <w:t xml:space="preserve">на объекте </w:t>
      </w:r>
      <w:r>
        <w:rPr>
          <w:sz w:val="28"/>
        </w:rPr>
        <w:t>электроснабжения, водоснабжения, отопления, канализации, отдельного входа в помещение</w:t>
      </w:r>
      <w:r w:rsidR="00826ED8">
        <w:rPr>
          <w:sz w:val="28"/>
        </w:rPr>
        <w:t xml:space="preserve"> (далее – элементы комфортности</w:t>
      </w:r>
      <w:r>
        <w:rPr>
          <w:sz w:val="28"/>
        </w:rPr>
        <w:t xml:space="preserve">). </w:t>
      </w:r>
    </w:p>
    <w:p w:rsidR="00E15D95" w:rsidRDefault="00E15D95" w:rsidP="00337A50">
      <w:pPr>
        <w:jc w:val="both"/>
        <w:rPr>
          <w:sz w:val="28"/>
        </w:rPr>
      </w:pPr>
      <w:proofErr w:type="spellStart"/>
      <w:r>
        <w:rPr>
          <w:b/>
          <w:sz w:val="28"/>
        </w:rPr>
        <w:t>Кк</w:t>
      </w:r>
      <w:proofErr w:type="spellEnd"/>
      <w:r>
        <w:rPr>
          <w:b/>
          <w:sz w:val="28"/>
        </w:rPr>
        <w:t xml:space="preserve">. – </w:t>
      </w:r>
      <w:r>
        <w:rPr>
          <w:sz w:val="28"/>
        </w:rPr>
        <w:t>коэффициент комфортности рассчитывается по формуле:</w:t>
      </w:r>
    </w:p>
    <w:p w:rsidR="00E15D95" w:rsidRDefault="00E15D95" w:rsidP="00337A50">
      <w:pPr>
        <w:jc w:val="both"/>
        <w:rPr>
          <w:sz w:val="28"/>
        </w:rPr>
      </w:pPr>
    </w:p>
    <w:p w:rsidR="00E15D95" w:rsidRDefault="00E15D95" w:rsidP="00337A50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Кк.=Кэл</w:t>
      </w:r>
      <w:proofErr w:type="spellEnd"/>
      <w:r>
        <w:rPr>
          <w:b/>
          <w:sz w:val="28"/>
        </w:rPr>
        <w:t>.*</w:t>
      </w:r>
      <w:proofErr w:type="spellStart"/>
      <w:r>
        <w:rPr>
          <w:b/>
          <w:sz w:val="28"/>
        </w:rPr>
        <w:t>Квод</w:t>
      </w:r>
      <w:proofErr w:type="spellEnd"/>
      <w:r>
        <w:rPr>
          <w:b/>
          <w:sz w:val="28"/>
        </w:rPr>
        <w:t>.*Кот.*</w:t>
      </w:r>
      <w:proofErr w:type="spellStart"/>
      <w:r>
        <w:rPr>
          <w:b/>
          <w:sz w:val="28"/>
        </w:rPr>
        <w:t>Ккн.+Квх</w:t>
      </w:r>
      <w:proofErr w:type="spellEnd"/>
      <w:r>
        <w:rPr>
          <w:b/>
          <w:sz w:val="28"/>
        </w:rPr>
        <w:t xml:space="preserve">, </w:t>
      </w:r>
      <w:r w:rsidRPr="00E15D95">
        <w:rPr>
          <w:sz w:val="28"/>
        </w:rPr>
        <w:t>где:</w:t>
      </w:r>
    </w:p>
    <w:p w:rsidR="00E15D95" w:rsidRDefault="00E15D95" w:rsidP="00337A50">
      <w:pPr>
        <w:jc w:val="both"/>
        <w:rPr>
          <w:b/>
          <w:sz w:val="28"/>
        </w:rPr>
      </w:pPr>
    </w:p>
    <w:p w:rsidR="00E15D95" w:rsidRPr="00E15D95" w:rsidRDefault="00E15D95" w:rsidP="00337A50">
      <w:pPr>
        <w:jc w:val="both"/>
        <w:rPr>
          <w:sz w:val="28"/>
        </w:rPr>
      </w:pPr>
      <w:proofErr w:type="spellStart"/>
      <w:r>
        <w:rPr>
          <w:b/>
          <w:sz w:val="28"/>
        </w:rPr>
        <w:t>Кэл</w:t>
      </w:r>
      <w:proofErr w:type="spellEnd"/>
      <w:r>
        <w:rPr>
          <w:b/>
          <w:sz w:val="28"/>
        </w:rPr>
        <w:t xml:space="preserve">. – </w:t>
      </w:r>
      <w:r w:rsidRPr="00E15D95">
        <w:rPr>
          <w:sz w:val="28"/>
        </w:rPr>
        <w:t>коэффициент электроснабжения,</w:t>
      </w:r>
      <w:r>
        <w:rPr>
          <w:sz w:val="28"/>
        </w:rPr>
        <w:t xml:space="preserve"> </w:t>
      </w:r>
      <w:proofErr w:type="spellStart"/>
      <w:r>
        <w:rPr>
          <w:b/>
          <w:sz w:val="28"/>
        </w:rPr>
        <w:t>Квод</w:t>
      </w:r>
      <w:proofErr w:type="spellEnd"/>
      <w:r>
        <w:rPr>
          <w:b/>
          <w:sz w:val="28"/>
        </w:rPr>
        <w:t>.-</w:t>
      </w:r>
      <w:r w:rsidRPr="00E15D95">
        <w:rPr>
          <w:sz w:val="28"/>
        </w:rPr>
        <w:t xml:space="preserve"> коэффициент </w:t>
      </w:r>
      <w:r>
        <w:rPr>
          <w:sz w:val="28"/>
        </w:rPr>
        <w:t>вод</w:t>
      </w:r>
      <w:r w:rsidRPr="00E15D95">
        <w:rPr>
          <w:sz w:val="28"/>
        </w:rPr>
        <w:t>оснабжения</w:t>
      </w:r>
      <w:r>
        <w:rPr>
          <w:sz w:val="28"/>
        </w:rPr>
        <w:t>,</w:t>
      </w:r>
    </w:p>
    <w:p w:rsidR="00E15D95" w:rsidRDefault="00E15D95" w:rsidP="00337A50">
      <w:pPr>
        <w:jc w:val="both"/>
        <w:rPr>
          <w:sz w:val="28"/>
        </w:rPr>
      </w:pPr>
      <w:r>
        <w:rPr>
          <w:b/>
          <w:sz w:val="28"/>
        </w:rPr>
        <w:t xml:space="preserve">Кот. – </w:t>
      </w:r>
      <w:r w:rsidRPr="00E15D95">
        <w:rPr>
          <w:sz w:val="28"/>
        </w:rPr>
        <w:t>коэффициент</w:t>
      </w:r>
      <w:r>
        <w:rPr>
          <w:sz w:val="28"/>
        </w:rPr>
        <w:t xml:space="preserve"> отопления, </w:t>
      </w:r>
      <w:proofErr w:type="spellStart"/>
      <w:r>
        <w:rPr>
          <w:b/>
          <w:sz w:val="28"/>
        </w:rPr>
        <w:t>Ккн</w:t>
      </w:r>
      <w:proofErr w:type="spellEnd"/>
      <w:r>
        <w:rPr>
          <w:b/>
          <w:sz w:val="28"/>
        </w:rPr>
        <w:t xml:space="preserve">. – </w:t>
      </w:r>
      <w:r w:rsidRPr="00E15D95">
        <w:rPr>
          <w:sz w:val="28"/>
        </w:rPr>
        <w:t>коэффициент</w:t>
      </w:r>
      <w:r>
        <w:rPr>
          <w:sz w:val="28"/>
        </w:rPr>
        <w:t xml:space="preserve"> канализации,</w:t>
      </w:r>
    </w:p>
    <w:p w:rsidR="00E15D95" w:rsidRDefault="00E15D95" w:rsidP="00337A50">
      <w:pPr>
        <w:jc w:val="both"/>
        <w:rPr>
          <w:sz w:val="28"/>
        </w:rPr>
      </w:pPr>
      <w:proofErr w:type="spellStart"/>
      <w:r>
        <w:rPr>
          <w:b/>
          <w:sz w:val="28"/>
        </w:rPr>
        <w:t>Квх</w:t>
      </w:r>
      <w:proofErr w:type="spellEnd"/>
      <w:r>
        <w:rPr>
          <w:b/>
          <w:sz w:val="28"/>
        </w:rPr>
        <w:t xml:space="preserve">. – </w:t>
      </w:r>
      <w:r>
        <w:rPr>
          <w:sz w:val="28"/>
        </w:rPr>
        <w:t>наличие отдельного входа в помещение.</w:t>
      </w:r>
    </w:p>
    <w:p w:rsidR="00052152" w:rsidRDefault="00052152" w:rsidP="00337A50">
      <w:pPr>
        <w:jc w:val="both"/>
        <w:rPr>
          <w:sz w:val="28"/>
        </w:rPr>
      </w:pPr>
    </w:p>
    <w:p w:rsidR="00052152" w:rsidRPr="00E15D95" w:rsidRDefault="00052152" w:rsidP="00337A50">
      <w:pPr>
        <w:jc w:val="both"/>
        <w:rPr>
          <w:sz w:val="28"/>
        </w:rPr>
      </w:pPr>
      <w:r>
        <w:rPr>
          <w:sz w:val="28"/>
        </w:rPr>
        <w:t xml:space="preserve">При наличии на объекте следующих коэффициентов </w:t>
      </w:r>
      <w:proofErr w:type="spellStart"/>
      <w:r>
        <w:rPr>
          <w:b/>
          <w:sz w:val="28"/>
        </w:rPr>
        <w:t>Кэл</w:t>
      </w:r>
      <w:proofErr w:type="spellEnd"/>
      <w:r>
        <w:rPr>
          <w:b/>
          <w:sz w:val="28"/>
        </w:rPr>
        <w:t xml:space="preserve">., </w:t>
      </w:r>
      <w:proofErr w:type="spellStart"/>
      <w:r>
        <w:rPr>
          <w:b/>
          <w:sz w:val="28"/>
        </w:rPr>
        <w:t>Квод</w:t>
      </w:r>
      <w:proofErr w:type="spellEnd"/>
      <w:r>
        <w:rPr>
          <w:b/>
          <w:sz w:val="28"/>
        </w:rPr>
        <w:t xml:space="preserve">., Кот., </w:t>
      </w:r>
      <w:proofErr w:type="spellStart"/>
      <w:r>
        <w:rPr>
          <w:b/>
          <w:sz w:val="28"/>
        </w:rPr>
        <w:t>Ккн</w:t>
      </w:r>
      <w:proofErr w:type="spellEnd"/>
      <w:r>
        <w:rPr>
          <w:b/>
          <w:sz w:val="28"/>
        </w:rPr>
        <w:t xml:space="preserve"> </w:t>
      </w:r>
      <w:r w:rsidRPr="00052152">
        <w:rPr>
          <w:sz w:val="28"/>
        </w:rPr>
        <w:t>коэффициент комфортности принимается равным</w:t>
      </w:r>
      <w:r>
        <w:rPr>
          <w:b/>
          <w:sz w:val="28"/>
        </w:rPr>
        <w:t xml:space="preserve"> – 1, </w:t>
      </w:r>
      <w:r w:rsidRPr="00052152">
        <w:rPr>
          <w:sz w:val="28"/>
        </w:rPr>
        <w:t>а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Квх</w:t>
      </w:r>
      <w:proofErr w:type="spellEnd"/>
      <w:r>
        <w:rPr>
          <w:b/>
          <w:sz w:val="28"/>
        </w:rPr>
        <w:t xml:space="preserve"> – </w:t>
      </w:r>
      <w:r w:rsidRPr="00052152">
        <w:rPr>
          <w:sz w:val="28"/>
        </w:rPr>
        <w:t>равным</w:t>
      </w:r>
      <w:r>
        <w:rPr>
          <w:b/>
          <w:sz w:val="28"/>
        </w:rPr>
        <w:t xml:space="preserve"> 0,3</w:t>
      </w:r>
    </w:p>
    <w:p w:rsidR="00E15D95" w:rsidRDefault="00E15D95" w:rsidP="00337A50">
      <w:pPr>
        <w:jc w:val="both"/>
        <w:rPr>
          <w:b/>
          <w:sz w:val="28"/>
        </w:rPr>
      </w:pPr>
    </w:p>
    <w:p w:rsidR="004C73F4" w:rsidRDefault="004C73F4" w:rsidP="00337A50">
      <w:pPr>
        <w:jc w:val="both"/>
        <w:rPr>
          <w:b/>
          <w:sz w:val="28"/>
        </w:rPr>
      </w:pPr>
      <w:r>
        <w:rPr>
          <w:sz w:val="28"/>
        </w:rPr>
        <w:t>При отсутствии на объекте элементов благоустройства для расчета принимаются следующие коэффициенты:</w:t>
      </w:r>
      <w:r w:rsidRPr="004C73F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Кэл</w:t>
      </w:r>
      <w:proofErr w:type="spellEnd"/>
      <w:r>
        <w:rPr>
          <w:b/>
          <w:sz w:val="28"/>
        </w:rPr>
        <w:t>. – 0,6, Квод.-0,8, Кот.-0,6, Ккн.-0,6, Квх.-0</w:t>
      </w:r>
    </w:p>
    <w:p w:rsidR="00477A01" w:rsidRDefault="00477A01" w:rsidP="00337A50">
      <w:pPr>
        <w:jc w:val="both"/>
        <w:rPr>
          <w:b/>
          <w:sz w:val="28"/>
        </w:rPr>
      </w:pPr>
    </w:p>
    <w:p w:rsidR="00477A01" w:rsidRDefault="00477A01" w:rsidP="00337A50">
      <w:pPr>
        <w:jc w:val="both"/>
        <w:rPr>
          <w:b/>
          <w:sz w:val="28"/>
        </w:rPr>
      </w:pPr>
      <w:r>
        <w:rPr>
          <w:sz w:val="28"/>
        </w:rPr>
        <w:t xml:space="preserve">Коэффициент комфортности снижается для подвального помещения </w:t>
      </w:r>
      <w:r w:rsidRPr="00477A01">
        <w:rPr>
          <w:b/>
          <w:sz w:val="28"/>
        </w:rPr>
        <w:t>на 20%,</w:t>
      </w:r>
      <w:r>
        <w:rPr>
          <w:sz w:val="28"/>
        </w:rPr>
        <w:t xml:space="preserve"> т.е. </w:t>
      </w:r>
      <w:r>
        <w:rPr>
          <w:b/>
          <w:sz w:val="28"/>
        </w:rPr>
        <w:t xml:space="preserve">Кк.=0,8;  </w:t>
      </w:r>
      <w:r w:rsidRPr="00477A01">
        <w:rPr>
          <w:sz w:val="28"/>
        </w:rPr>
        <w:t>для цокольного этажа</w:t>
      </w:r>
      <w:r>
        <w:rPr>
          <w:b/>
          <w:sz w:val="28"/>
        </w:rPr>
        <w:t xml:space="preserve"> на 10%  </w:t>
      </w:r>
      <w:r w:rsidRPr="00477A01">
        <w:rPr>
          <w:sz w:val="28"/>
        </w:rPr>
        <w:t>т.е.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Кк.=</w:t>
      </w:r>
      <w:proofErr w:type="spellEnd"/>
      <w:r>
        <w:rPr>
          <w:b/>
          <w:sz w:val="28"/>
        </w:rPr>
        <w:t xml:space="preserve"> 0,9</w:t>
      </w:r>
    </w:p>
    <w:p w:rsidR="004C73F4" w:rsidRDefault="004C73F4" w:rsidP="00337A50">
      <w:pPr>
        <w:jc w:val="both"/>
        <w:rPr>
          <w:b/>
          <w:sz w:val="28"/>
        </w:rPr>
      </w:pPr>
    </w:p>
    <w:p w:rsidR="00337A50" w:rsidRDefault="00337A50" w:rsidP="00337A50">
      <w:pPr>
        <w:jc w:val="both"/>
        <w:rPr>
          <w:b/>
          <w:sz w:val="28"/>
        </w:rPr>
      </w:pPr>
      <w:proofErr w:type="spellStart"/>
      <w:r w:rsidRPr="00D64CB5">
        <w:rPr>
          <w:b/>
          <w:sz w:val="28"/>
        </w:rPr>
        <w:t>Кк</w:t>
      </w:r>
      <w:proofErr w:type="spellEnd"/>
      <w:r w:rsidRPr="00D64CB5">
        <w:rPr>
          <w:b/>
          <w:sz w:val="28"/>
        </w:rPr>
        <w:t xml:space="preserve"> для объектов коммунального назначения = 0</w:t>
      </w:r>
      <w:r w:rsidR="00826ED8" w:rsidRPr="00D64CB5">
        <w:rPr>
          <w:b/>
          <w:sz w:val="28"/>
        </w:rPr>
        <w:t>,6</w:t>
      </w:r>
      <w:r>
        <w:rPr>
          <w:b/>
          <w:sz w:val="28"/>
        </w:rPr>
        <w:t xml:space="preserve"> </w:t>
      </w:r>
    </w:p>
    <w:p w:rsidR="00D46CBF" w:rsidRDefault="00D46CBF" w:rsidP="00337A50">
      <w:pPr>
        <w:jc w:val="both"/>
        <w:rPr>
          <w:b/>
          <w:sz w:val="28"/>
        </w:rPr>
      </w:pPr>
    </w:p>
    <w:p w:rsidR="00337A50" w:rsidRDefault="00337A50" w:rsidP="00337A50">
      <w:pPr>
        <w:jc w:val="both"/>
        <w:rPr>
          <w:b/>
          <w:sz w:val="28"/>
        </w:rPr>
      </w:pPr>
      <w:r>
        <w:rPr>
          <w:b/>
          <w:sz w:val="28"/>
        </w:rPr>
        <w:t>К</w:t>
      </w:r>
      <w:r w:rsidR="006D1387">
        <w:rPr>
          <w:b/>
          <w:sz w:val="28"/>
          <w:lang w:val="en-US"/>
        </w:rPr>
        <w:t>s</w:t>
      </w:r>
      <w:r w:rsidR="006D1387">
        <w:rPr>
          <w:b/>
          <w:sz w:val="28"/>
        </w:rPr>
        <w:t>.</w:t>
      </w:r>
      <w:r>
        <w:rPr>
          <w:b/>
          <w:sz w:val="28"/>
        </w:rPr>
        <w:t xml:space="preserve"> – </w:t>
      </w:r>
      <w:r>
        <w:rPr>
          <w:sz w:val="28"/>
        </w:rPr>
        <w:t xml:space="preserve">коэффициент площади </w:t>
      </w:r>
      <w:r w:rsidR="006D1387">
        <w:rPr>
          <w:sz w:val="28"/>
        </w:rPr>
        <w:t xml:space="preserve">(протяженности) </w:t>
      </w:r>
      <w:r>
        <w:rPr>
          <w:sz w:val="28"/>
        </w:rPr>
        <w:t>принимается равным:</w:t>
      </w:r>
    </w:p>
    <w:p w:rsidR="00337A50" w:rsidRDefault="009D73F1" w:rsidP="00337A50">
      <w:pPr>
        <w:pStyle w:val="ac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 аренде помещений при </w:t>
      </w:r>
      <w:r w:rsidR="00337A50">
        <w:rPr>
          <w:rFonts w:ascii="Times New Roman" w:hAnsi="Times New Roman"/>
          <w:sz w:val="28"/>
        </w:rPr>
        <w:t xml:space="preserve"> площад</w:t>
      </w:r>
      <w:r>
        <w:rPr>
          <w:rFonts w:ascii="Times New Roman" w:hAnsi="Times New Roman"/>
          <w:sz w:val="28"/>
        </w:rPr>
        <w:t>и</w:t>
      </w:r>
      <w:r w:rsidR="00337A50">
        <w:rPr>
          <w:rFonts w:ascii="Times New Roman" w:hAnsi="Times New Roman"/>
          <w:sz w:val="28"/>
        </w:rPr>
        <w:t xml:space="preserve"> до 100 кв.м. (включительно) – </w:t>
      </w:r>
      <w:r w:rsidR="00337A50" w:rsidRPr="009D73F1">
        <w:rPr>
          <w:rFonts w:ascii="Times New Roman" w:hAnsi="Times New Roman"/>
          <w:b/>
          <w:sz w:val="28"/>
        </w:rPr>
        <w:t>1,05</w:t>
      </w:r>
    </w:p>
    <w:p w:rsidR="00337A50" w:rsidRDefault="009D73F1" w:rsidP="00337A50">
      <w:pPr>
        <w:pStyle w:val="ac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аренде помещений при  площади от 100 кв.м. до 400 кв.м.</w:t>
      </w:r>
      <w:r w:rsidR="00337A50">
        <w:rPr>
          <w:rFonts w:ascii="Times New Roman" w:hAnsi="Times New Roman"/>
          <w:sz w:val="28"/>
        </w:rPr>
        <w:t xml:space="preserve"> – </w:t>
      </w:r>
      <w:r w:rsidR="00337A50" w:rsidRPr="009D73F1">
        <w:rPr>
          <w:rFonts w:ascii="Times New Roman" w:hAnsi="Times New Roman"/>
          <w:b/>
          <w:sz w:val="28"/>
        </w:rPr>
        <w:t>1,0</w:t>
      </w:r>
    </w:p>
    <w:p w:rsidR="009D73F1" w:rsidRPr="009D73F1" w:rsidRDefault="009D73F1" w:rsidP="00337A50">
      <w:pPr>
        <w:pStyle w:val="ac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 аренде помещений площадью от 400 кв.м. включительно и более – </w:t>
      </w:r>
      <w:r w:rsidRPr="009D73F1">
        <w:rPr>
          <w:rFonts w:ascii="Times New Roman" w:hAnsi="Times New Roman"/>
          <w:b/>
          <w:sz w:val="28"/>
        </w:rPr>
        <w:t>0,9</w:t>
      </w:r>
    </w:p>
    <w:p w:rsidR="00337A50" w:rsidRDefault="009D73F1" w:rsidP="00E664F6">
      <w:pPr>
        <w:pStyle w:val="ac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 аренде </w:t>
      </w:r>
      <w:r w:rsidR="00E664F6">
        <w:rPr>
          <w:rFonts w:ascii="Times New Roman" w:hAnsi="Times New Roman"/>
          <w:sz w:val="28"/>
        </w:rPr>
        <w:t xml:space="preserve">объектов коммунального назначения - </w:t>
      </w:r>
      <w:r w:rsidR="00337A50">
        <w:rPr>
          <w:rFonts w:ascii="Times New Roman" w:hAnsi="Times New Roman"/>
          <w:sz w:val="28"/>
        </w:rPr>
        <w:t xml:space="preserve"> </w:t>
      </w:r>
      <w:r w:rsidR="00337A50" w:rsidRPr="009D73F1">
        <w:rPr>
          <w:rFonts w:ascii="Times New Roman" w:hAnsi="Times New Roman"/>
          <w:b/>
          <w:sz w:val="28"/>
        </w:rPr>
        <w:t>1,0</w:t>
      </w:r>
    </w:p>
    <w:p w:rsidR="00337A50" w:rsidRDefault="00337A50" w:rsidP="00337A50">
      <w:pPr>
        <w:jc w:val="both"/>
        <w:rPr>
          <w:sz w:val="28"/>
        </w:rPr>
      </w:pPr>
    </w:p>
    <w:p w:rsidR="00E63376" w:rsidRDefault="00337A50" w:rsidP="00337A50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Квд</w:t>
      </w:r>
      <w:proofErr w:type="spellEnd"/>
      <w:r>
        <w:rPr>
          <w:b/>
          <w:sz w:val="28"/>
        </w:rPr>
        <w:t xml:space="preserve"> – </w:t>
      </w:r>
      <w:r>
        <w:rPr>
          <w:sz w:val="28"/>
        </w:rPr>
        <w:t>коэффициент вида деятельности</w:t>
      </w:r>
      <w:r w:rsidR="009D18B6">
        <w:rPr>
          <w:sz w:val="28"/>
        </w:rPr>
        <w:t xml:space="preserve"> (</w:t>
      </w:r>
      <w:r>
        <w:rPr>
          <w:sz w:val="28"/>
        </w:rPr>
        <w:t>учитывает характер вида деятельности</w:t>
      </w:r>
      <w:r w:rsidR="00826ED8">
        <w:rPr>
          <w:sz w:val="28"/>
        </w:rPr>
        <w:t xml:space="preserve"> и определяется целевым использованием объекта</w:t>
      </w:r>
      <w:r w:rsidR="009D18B6">
        <w:rPr>
          <w:sz w:val="28"/>
        </w:rPr>
        <w:t>)</w:t>
      </w:r>
      <w:r>
        <w:rPr>
          <w:b/>
          <w:sz w:val="28"/>
        </w:rPr>
        <w:t>:</w:t>
      </w: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337A50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Default="00337A50">
            <w:pPr>
              <w:jc w:val="both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Default="007A0660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Виды деятельности арендатора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Default="00337A50" w:rsidP="00B938D2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proofErr w:type="spellStart"/>
            <w:r>
              <w:rPr>
                <w:b/>
                <w:sz w:val="28"/>
              </w:rPr>
              <w:t>К</w:t>
            </w:r>
            <w:r w:rsidR="00B938D2">
              <w:rPr>
                <w:b/>
                <w:sz w:val="28"/>
              </w:rPr>
              <w:t>вд</w:t>
            </w:r>
            <w:proofErr w:type="spellEnd"/>
          </w:p>
        </w:tc>
      </w:tr>
      <w:tr w:rsidR="00337A50" w:rsidTr="00337A50">
        <w:trPr>
          <w:trHeight w:val="4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 w:rsidP="00295DFC">
            <w:pPr>
              <w:jc w:val="center"/>
              <w:rPr>
                <w:lang w:eastAsia="en-US"/>
              </w:rPr>
            </w:pPr>
            <w:r w:rsidRPr="00702DD0"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 w:rsidP="00160022">
            <w:pPr>
              <w:rPr>
                <w:lang w:eastAsia="en-US"/>
              </w:rPr>
            </w:pPr>
            <w:r w:rsidRPr="00702DD0">
              <w:t>ночные клубы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EB525C" w:rsidRDefault="00337A50" w:rsidP="00EB525C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EB525C">
              <w:rPr>
                <w:b/>
                <w:sz w:val="28"/>
              </w:rPr>
              <w:t>10</w:t>
            </w:r>
          </w:p>
        </w:tc>
      </w:tr>
      <w:tr w:rsidR="00337A50" w:rsidTr="00337A50">
        <w:trPr>
          <w:trHeight w:val="4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 w:rsidP="00295DFC">
            <w:pPr>
              <w:jc w:val="center"/>
              <w:rPr>
                <w:lang w:eastAsia="en-US"/>
              </w:rPr>
            </w:pPr>
            <w:r w:rsidRPr="00702DD0"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>
            <w:pPr>
              <w:rPr>
                <w:lang w:eastAsia="en-US"/>
              </w:rPr>
            </w:pPr>
            <w:r w:rsidRPr="00702DD0">
              <w:t xml:space="preserve">бильярд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111024" w:rsidRDefault="00337A50" w:rsidP="00111024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111024">
              <w:rPr>
                <w:b/>
                <w:sz w:val="28"/>
              </w:rPr>
              <w:t>3,</w:t>
            </w:r>
            <w:r w:rsidR="00111024" w:rsidRPr="00111024">
              <w:rPr>
                <w:b/>
                <w:sz w:val="28"/>
              </w:rPr>
              <w:t>0</w:t>
            </w:r>
          </w:p>
        </w:tc>
      </w:tr>
      <w:tr w:rsidR="00337A50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 w:rsidP="00295DFC">
            <w:pPr>
              <w:jc w:val="center"/>
              <w:rPr>
                <w:lang w:eastAsia="en-US"/>
              </w:rPr>
            </w:pPr>
            <w:r w:rsidRPr="00702DD0"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D15F9A">
            <w:pPr>
              <w:rPr>
                <w:lang w:eastAsia="en-US"/>
              </w:rPr>
            </w:pPr>
            <w:r w:rsidRPr="00702DD0">
              <w:t>административная деятельность, офисы, конторы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Default="00D15F9A" w:rsidP="00D15F9A">
            <w:pPr>
              <w:jc w:val="center"/>
              <w:rPr>
                <w:sz w:val="28"/>
                <w:szCs w:val="22"/>
                <w:lang w:eastAsia="en-US"/>
              </w:rPr>
            </w:pPr>
            <w:r w:rsidRPr="00111024">
              <w:rPr>
                <w:b/>
                <w:sz w:val="28"/>
              </w:rPr>
              <w:t>3,0</w:t>
            </w:r>
          </w:p>
        </w:tc>
      </w:tr>
      <w:tr w:rsidR="00E664F6" w:rsidTr="00393823">
        <w:trPr>
          <w:trHeight w:val="8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4F6" w:rsidRPr="00702DD0" w:rsidRDefault="00E664F6" w:rsidP="00295DFC">
            <w:pPr>
              <w:jc w:val="center"/>
              <w:rPr>
                <w:lang w:eastAsia="en-US"/>
              </w:rPr>
            </w:pPr>
            <w:r w:rsidRPr="00702DD0"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F6" w:rsidRPr="00702DD0" w:rsidRDefault="00E664F6">
            <w:r w:rsidRPr="00702DD0">
              <w:t>продажа алкогольной продукции и пива:</w:t>
            </w:r>
          </w:p>
          <w:p w:rsidR="00E664F6" w:rsidRPr="00702DD0" w:rsidRDefault="00E664F6" w:rsidP="00337A50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02DD0">
              <w:rPr>
                <w:rFonts w:ascii="Times New Roman" w:hAnsi="Times New Roman"/>
                <w:sz w:val="24"/>
                <w:szCs w:val="24"/>
              </w:rPr>
              <w:t>рестораны, бары, кафе, закусочные</w:t>
            </w:r>
            <w:r>
              <w:rPr>
                <w:rFonts w:ascii="Times New Roman" w:hAnsi="Times New Roman"/>
                <w:sz w:val="24"/>
                <w:szCs w:val="24"/>
              </w:rPr>
              <w:t>, предприятия общественного питания</w:t>
            </w:r>
            <w:r w:rsidRPr="0070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F6" w:rsidRDefault="00E664F6">
            <w:pPr>
              <w:jc w:val="both"/>
              <w:rPr>
                <w:sz w:val="28"/>
              </w:rPr>
            </w:pPr>
          </w:p>
          <w:p w:rsidR="00E664F6" w:rsidRPr="00C24B00" w:rsidRDefault="00E664F6" w:rsidP="00C24B00">
            <w:pPr>
              <w:jc w:val="center"/>
              <w:rPr>
                <w:b/>
                <w:sz w:val="28"/>
              </w:rPr>
            </w:pPr>
            <w:r w:rsidRPr="00C24B00">
              <w:rPr>
                <w:b/>
                <w:sz w:val="28"/>
              </w:rPr>
              <w:t>2,5</w:t>
            </w:r>
          </w:p>
          <w:p w:rsidR="00E664F6" w:rsidRDefault="00E664F6" w:rsidP="00C24B00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664F6" w:rsidTr="00393823">
        <w:trPr>
          <w:trHeight w:val="38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64F6" w:rsidRPr="00702DD0" w:rsidRDefault="00E664F6" w:rsidP="00295DFC">
            <w:pPr>
              <w:jc w:val="center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F6" w:rsidRDefault="00E664F6" w:rsidP="00337A50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  <w:p w:rsidR="00E664F6" w:rsidRPr="00702DD0" w:rsidRDefault="00E664F6" w:rsidP="00E664F6">
            <w:pPr>
              <w:pStyle w:val="ac"/>
              <w:ind w:firstLine="0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F6" w:rsidRDefault="00E664F6" w:rsidP="00C24B0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3,0</w:t>
            </w:r>
          </w:p>
        </w:tc>
      </w:tr>
      <w:tr w:rsidR="00E664F6" w:rsidTr="00393823">
        <w:trPr>
          <w:trHeight w:val="45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F6" w:rsidRPr="00702DD0" w:rsidRDefault="00E664F6" w:rsidP="00295DFC">
            <w:pPr>
              <w:jc w:val="center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F6" w:rsidRDefault="00E664F6" w:rsidP="00337A50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02DD0">
              <w:rPr>
                <w:rFonts w:ascii="Times New Roman" w:hAnsi="Times New Roman"/>
                <w:sz w:val="24"/>
                <w:szCs w:val="24"/>
              </w:rPr>
              <w:t xml:space="preserve">магазины, оптовая торговля алкоголем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F6" w:rsidRDefault="00E664F6" w:rsidP="00C24B00">
            <w:pPr>
              <w:jc w:val="center"/>
              <w:rPr>
                <w:b/>
                <w:sz w:val="28"/>
              </w:rPr>
            </w:pPr>
            <w:r w:rsidRPr="00C24B00">
              <w:rPr>
                <w:b/>
                <w:sz w:val="28"/>
              </w:rPr>
              <w:t>3,5</w:t>
            </w:r>
          </w:p>
        </w:tc>
      </w:tr>
      <w:tr w:rsidR="00337A50" w:rsidTr="00337A50">
        <w:trPr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 w:rsidP="00295DFC">
            <w:pPr>
              <w:jc w:val="center"/>
              <w:rPr>
                <w:lang w:eastAsia="en-US"/>
              </w:rPr>
            </w:pPr>
            <w:r w:rsidRPr="00702DD0"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 w:rsidP="0082441C">
            <w:pPr>
              <w:rPr>
                <w:lang w:eastAsia="en-US"/>
              </w:rPr>
            </w:pPr>
            <w:r w:rsidRPr="00702DD0">
              <w:t>банковская деятельность, пункты обмена валюты, ломбарды, бирж</w:t>
            </w:r>
            <w:r w:rsidR="0082441C" w:rsidRPr="00702DD0">
              <w:t>евая деятельность, инвестиционные фонды</w:t>
            </w:r>
            <w:r w:rsidRPr="00702DD0">
              <w:t xml:space="preserve">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82441C" w:rsidRDefault="00337A50" w:rsidP="0082441C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82441C">
              <w:rPr>
                <w:b/>
                <w:sz w:val="28"/>
              </w:rPr>
              <w:t>4</w:t>
            </w:r>
          </w:p>
        </w:tc>
      </w:tr>
      <w:tr w:rsidR="00337A50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 w:rsidP="00295DFC">
            <w:pPr>
              <w:jc w:val="center"/>
              <w:rPr>
                <w:lang w:eastAsia="en-US"/>
              </w:rPr>
            </w:pPr>
            <w:r w:rsidRPr="00702DD0"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EC5A23">
            <w:pPr>
              <w:rPr>
                <w:lang w:eastAsia="en-US"/>
              </w:rPr>
            </w:pPr>
            <w:r w:rsidRPr="00702DD0">
              <w:t xml:space="preserve">Деятельность по хранению нефти и нефтепродуктов, </w:t>
            </w:r>
            <w:r w:rsidR="00337A50" w:rsidRPr="00702DD0">
              <w:t xml:space="preserve">розничная торговля средствами передвижения всех видов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EC5A23" w:rsidRDefault="00337A50" w:rsidP="00EC5A23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EC5A23">
              <w:rPr>
                <w:b/>
                <w:sz w:val="28"/>
              </w:rPr>
              <w:t>5</w:t>
            </w:r>
          </w:p>
        </w:tc>
      </w:tr>
      <w:tr w:rsidR="00337A50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 w:rsidP="00295DFC">
            <w:pPr>
              <w:jc w:val="center"/>
              <w:rPr>
                <w:lang w:eastAsia="en-US"/>
              </w:rPr>
            </w:pPr>
            <w:r w:rsidRPr="00702DD0"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>
            <w:pPr>
              <w:rPr>
                <w:lang w:eastAsia="en-US"/>
              </w:rPr>
            </w:pPr>
            <w:r w:rsidRPr="00702DD0">
              <w:t>юридическая, нотариальная</w:t>
            </w:r>
            <w:r w:rsidR="00013832" w:rsidRPr="00702DD0">
              <w:t xml:space="preserve">, адвокатская </w:t>
            </w:r>
            <w:r w:rsidRPr="00702DD0">
              <w:t xml:space="preserve"> деятельность (офисы, конторы)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5649D0" w:rsidRDefault="005649D0" w:rsidP="005649D0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5649D0">
              <w:rPr>
                <w:b/>
                <w:sz w:val="28"/>
              </w:rPr>
              <w:t>4</w:t>
            </w:r>
          </w:p>
        </w:tc>
      </w:tr>
      <w:tr w:rsidR="00337A50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 w:rsidP="00295DFC">
            <w:pPr>
              <w:jc w:val="center"/>
              <w:rPr>
                <w:lang w:eastAsia="en-US"/>
              </w:rPr>
            </w:pPr>
            <w:r w:rsidRPr="00702DD0"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>
            <w:pPr>
              <w:rPr>
                <w:lang w:eastAsia="en-US"/>
              </w:rPr>
            </w:pPr>
            <w:r w:rsidRPr="00702DD0">
              <w:t xml:space="preserve">оказание услуг (медицинские, косметические, парикмахерские, салоны, </w:t>
            </w:r>
            <w:r w:rsidR="005065FB" w:rsidRPr="00702DD0">
              <w:t xml:space="preserve">клубы, </w:t>
            </w:r>
            <w:r w:rsidRPr="00702DD0">
              <w:t xml:space="preserve">солярии)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5065FB" w:rsidRDefault="00337A50" w:rsidP="005065FB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5065FB">
              <w:rPr>
                <w:b/>
                <w:sz w:val="28"/>
              </w:rPr>
              <w:t>2</w:t>
            </w:r>
          </w:p>
        </w:tc>
      </w:tr>
      <w:tr w:rsidR="00337A50" w:rsidTr="00E80323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 w:rsidP="00295DFC">
            <w:pPr>
              <w:jc w:val="center"/>
              <w:rPr>
                <w:lang w:eastAsia="en-US"/>
              </w:rPr>
            </w:pPr>
            <w:r w:rsidRPr="00702DD0"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3" w:rsidRPr="00702DD0" w:rsidRDefault="00337A50" w:rsidP="00E80323">
            <w:pPr>
              <w:rPr>
                <w:lang w:eastAsia="en-US"/>
              </w:rPr>
            </w:pPr>
            <w:r w:rsidRPr="00702DD0">
              <w:t xml:space="preserve">оптовая торговля продовольственными товарами без продажи алкогольной продукции и пива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5065FB" w:rsidRDefault="00337A50" w:rsidP="005065FB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5065FB">
              <w:rPr>
                <w:b/>
                <w:sz w:val="28"/>
              </w:rPr>
              <w:t>2,5</w:t>
            </w:r>
          </w:p>
        </w:tc>
      </w:tr>
      <w:tr w:rsidR="00E80323" w:rsidTr="00337A50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3" w:rsidRPr="00702DD0" w:rsidRDefault="00E80323" w:rsidP="00295DFC">
            <w:pPr>
              <w:jc w:val="center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3" w:rsidRPr="00702DD0" w:rsidRDefault="00E80323" w:rsidP="00E80323">
            <w:r>
              <w:t xml:space="preserve">Розничная </w:t>
            </w:r>
            <w:r w:rsidRPr="00702DD0">
              <w:t xml:space="preserve">торговля продовольственными товарами без продажи алкогольной продукции и пива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3" w:rsidRPr="005065FB" w:rsidRDefault="00E80323" w:rsidP="005065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</w:p>
        </w:tc>
      </w:tr>
      <w:tr w:rsidR="00337A50" w:rsidTr="00E80323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02DD0" w:rsidRDefault="00337A50" w:rsidP="00295DFC">
            <w:pPr>
              <w:jc w:val="center"/>
              <w:rPr>
                <w:lang w:eastAsia="en-US"/>
              </w:rPr>
            </w:pPr>
            <w:r w:rsidRPr="00702DD0"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3" w:rsidRDefault="00337A50" w:rsidP="006C2F29">
            <w:r w:rsidRPr="00702DD0">
              <w:t>розничная торговля непродовольственными товарами</w:t>
            </w:r>
            <w:r w:rsidR="00723C00" w:rsidRPr="00702DD0">
              <w:t>,</w:t>
            </w:r>
            <w:r w:rsidRPr="00702DD0">
              <w:t xml:space="preserve"> </w:t>
            </w:r>
          </w:p>
          <w:p w:rsidR="00337A50" w:rsidRPr="00702DD0" w:rsidRDefault="00337A50" w:rsidP="006C2F29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50" w:rsidRPr="00723C00" w:rsidRDefault="00337A50" w:rsidP="00723C00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723C00">
              <w:rPr>
                <w:b/>
                <w:sz w:val="28"/>
              </w:rPr>
              <w:t>2</w:t>
            </w:r>
            <w:r w:rsidR="00E80323">
              <w:rPr>
                <w:b/>
                <w:sz w:val="28"/>
              </w:rPr>
              <w:t>,2</w:t>
            </w:r>
          </w:p>
        </w:tc>
      </w:tr>
      <w:tr w:rsidR="00E80323" w:rsidTr="00337A50">
        <w:trPr>
          <w:trHeight w:val="3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3" w:rsidRPr="00702DD0" w:rsidRDefault="00E80323" w:rsidP="00295DFC">
            <w:pPr>
              <w:jc w:val="center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3" w:rsidRPr="00702DD0" w:rsidRDefault="00E80323" w:rsidP="006C2F29">
            <w:r w:rsidRPr="00702DD0">
              <w:t xml:space="preserve">розничная торговля лекарственными формами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23" w:rsidRPr="00723C00" w:rsidRDefault="00E80323" w:rsidP="00723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</w:p>
        </w:tc>
      </w:tr>
      <w:tr w:rsidR="00DA4AD8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A4AD8" w:rsidP="00295DFC">
            <w:pPr>
              <w:jc w:val="center"/>
              <w:rPr>
                <w:lang w:eastAsia="en-US"/>
              </w:rPr>
            </w:pPr>
            <w:r w:rsidRPr="00702DD0">
              <w:t>1</w:t>
            </w:r>
            <w:r w:rsidR="00096852" w:rsidRPr="00702DD0"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A4AD8">
            <w:pPr>
              <w:rPr>
                <w:lang w:eastAsia="en-US"/>
              </w:rPr>
            </w:pPr>
            <w:r w:rsidRPr="00702DD0">
              <w:t xml:space="preserve">склады для хранения любых видов сырья, товаров, продовольствия, мастерские по изготовлению и ремонту мебели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385656" w:rsidRDefault="00385656" w:rsidP="00385656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385656">
              <w:rPr>
                <w:b/>
                <w:sz w:val="28"/>
              </w:rPr>
              <w:t>1,8</w:t>
            </w:r>
          </w:p>
        </w:tc>
      </w:tr>
      <w:tr w:rsidR="00DA4AD8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A4AD8" w:rsidP="00295DFC">
            <w:pPr>
              <w:jc w:val="center"/>
              <w:rPr>
                <w:lang w:eastAsia="en-US"/>
              </w:rPr>
            </w:pPr>
            <w:r w:rsidRPr="00702DD0">
              <w:t>1</w:t>
            </w:r>
            <w:r w:rsidR="00096852" w:rsidRPr="00702DD0"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A4AD8">
            <w:pPr>
              <w:rPr>
                <w:lang w:eastAsia="en-US"/>
              </w:rPr>
            </w:pPr>
            <w:r w:rsidRPr="00702DD0">
              <w:t>гостиницы, кафе, столовые, кулинарии, пирожковые и другие предприятия общественного питания, не продающие алкогольную продукцию и пиво</w:t>
            </w:r>
            <w:r w:rsidR="00FF6FD0">
              <w:t>, а так же предприятия общественного питания, обслуживающие лиц, находящихся в изоляторах временного содержания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C04B0F" w:rsidRDefault="00C04B0F" w:rsidP="00C04B0F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C04B0F">
              <w:rPr>
                <w:b/>
                <w:sz w:val="28"/>
              </w:rPr>
              <w:t>1,6</w:t>
            </w:r>
          </w:p>
        </w:tc>
      </w:tr>
      <w:tr w:rsidR="00DA4AD8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A4AD8" w:rsidP="00295DFC">
            <w:pPr>
              <w:jc w:val="center"/>
              <w:rPr>
                <w:lang w:eastAsia="en-US"/>
              </w:rPr>
            </w:pPr>
            <w:r w:rsidRPr="00702DD0">
              <w:t>1</w:t>
            </w:r>
            <w:r w:rsidR="00096852" w:rsidRPr="00702DD0"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FF1272" w:rsidP="008A5454">
            <w:pPr>
              <w:rPr>
                <w:lang w:eastAsia="en-US"/>
              </w:rPr>
            </w:pPr>
            <w:r w:rsidRPr="00702DD0">
              <w:t>г</w:t>
            </w:r>
            <w:r w:rsidR="00DA4AD8" w:rsidRPr="00702DD0">
              <w:t>аражи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8A5454" w:rsidRDefault="00DA4AD8" w:rsidP="008A5454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8A5454">
              <w:rPr>
                <w:b/>
                <w:sz w:val="28"/>
              </w:rPr>
              <w:t>1,5</w:t>
            </w:r>
          </w:p>
        </w:tc>
      </w:tr>
      <w:tr w:rsidR="00DA4AD8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A4AD8" w:rsidP="00295DFC">
            <w:pPr>
              <w:jc w:val="center"/>
              <w:rPr>
                <w:lang w:eastAsia="en-US"/>
              </w:rPr>
            </w:pPr>
            <w:r w:rsidRPr="00702DD0">
              <w:t>1</w:t>
            </w:r>
            <w:r w:rsidR="00096852" w:rsidRPr="00702DD0"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149F4" w:rsidP="00D149F4">
            <w:pPr>
              <w:rPr>
                <w:lang w:eastAsia="en-US"/>
              </w:rPr>
            </w:pPr>
            <w:r w:rsidRPr="00702DD0">
              <w:t xml:space="preserve">производственные площади, СМИ, </w:t>
            </w:r>
            <w:r w:rsidR="006C2F29" w:rsidRPr="00702DD0">
              <w:t>связь</w:t>
            </w:r>
            <w:r w:rsidRPr="00702DD0">
              <w:t>, почта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D149F4" w:rsidRDefault="00DA4AD8" w:rsidP="00D149F4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D149F4">
              <w:rPr>
                <w:b/>
                <w:sz w:val="28"/>
              </w:rPr>
              <w:t>1</w:t>
            </w:r>
          </w:p>
        </w:tc>
      </w:tr>
      <w:tr w:rsidR="00DA4AD8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096852" w:rsidP="00295DFC">
            <w:pPr>
              <w:jc w:val="center"/>
            </w:pPr>
            <w:r w:rsidRPr="00702DD0">
              <w:t>15</w:t>
            </w:r>
          </w:p>
          <w:p w:rsidR="00DA4AD8" w:rsidRPr="00702DD0" w:rsidRDefault="00DA4AD8" w:rsidP="00295DFC">
            <w:pPr>
              <w:jc w:val="center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96131" w:rsidP="006C2F2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Коридоры, лестницы, тамбуры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D96131" w:rsidRDefault="00D96131" w:rsidP="00D96131">
            <w:pPr>
              <w:jc w:val="center"/>
              <w:rPr>
                <w:b/>
                <w:sz w:val="28"/>
              </w:rPr>
            </w:pPr>
            <w:r w:rsidRPr="00D96131">
              <w:rPr>
                <w:b/>
                <w:sz w:val="28"/>
              </w:rPr>
              <w:t>1</w:t>
            </w:r>
          </w:p>
        </w:tc>
      </w:tr>
      <w:tr w:rsidR="00DA4AD8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A4AD8" w:rsidP="00295DFC">
            <w:pPr>
              <w:jc w:val="center"/>
              <w:rPr>
                <w:lang w:eastAsia="en-US"/>
              </w:rPr>
            </w:pPr>
            <w:r w:rsidRPr="00702DD0">
              <w:lastRenderedPageBreak/>
              <w:t>1</w:t>
            </w:r>
            <w:r w:rsidR="00096852" w:rsidRPr="00702DD0"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A4AD8">
            <w:pPr>
              <w:rPr>
                <w:lang w:eastAsia="en-US"/>
              </w:rPr>
            </w:pPr>
            <w:r w:rsidRPr="00702DD0">
              <w:t>услуги населению (швейные ателье,</w:t>
            </w:r>
            <w:r w:rsidR="00D52F07" w:rsidRPr="00702DD0">
              <w:t xml:space="preserve"> обувные и меховые мастерские,</w:t>
            </w:r>
            <w:r w:rsidRPr="00702DD0">
              <w:t xml:space="preserve"> фото, другие мелкие бытовые услуги)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D52F07" w:rsidRDefault="00DA4AD8" w:rsidP="00D52F07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D52F07">
              <w:rPr>
                <w:b/>
                <w:sz w:val="28"/>
              </w:rPr>
              <w:t>1</w:t>
            </w:r>
          </w:p>
        </w:tc>
      </w:tr>
      <w:tr w:rsidR="00DA4AD8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A4AD8" w:rsidP="00295DFC">
            <w:pPr>
              <w:jc w:val="center"/>
              <w:rPr>
                <w:lang w:eastAsia="en-US"/>
              </w:rPr>
            </w:pPr>
            <w:r w:rsidRPr="00702DD0">
              <w:t>1</w:t>
            </w:r>
            <w:r w:rsidR="00096852" w:rsidRPr="00702DD0"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A4AD8" w:rsidP="009D18B6">
            <w:pPr>
              <w:rPr>
                <w:lang w:eastAsia="en-US"/>
              </w:rPr>
            </w:pPr>
            <w:r w:rsidRPr="00702DD0">
              <w:t xml:space="preserve">органы исполнительной власти, органы полиции, юстиции, суды, прокуратуры, налоговые и таможенные органы, комиссариаты, муниципальные аптеки, спорт, культура, образовательные учреждения, </w:t>
            </w:r>
            <w:r w:rsidR="009D18B6" w:rsidRPr="00702DD0">
              <w:t>ВУЗы</w:t>
            </w:r>
            <w:r w:rsidRPr="00702DD0">
              <w:t xml:space="preserve">, производство товаров и услуг для инвалидов, прочие виды деятельности, не вошедшие в настоящий перечень и не подлежащие лицензированию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971B14" w:rsidRDefault="00DA4AD8" w:rsidP="00971B14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971B14">
              <w:rPr>
                <w:b/>
                <w:sz w:val="28"/>
              </w:rPr>
              <w:t>0,5</w:t>
            </w:r>
          </w:p>
        </w:tc>
      </w:tr>
      <w:tr w:rsidR="00DA4AD8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096852" w:rsidP="00295DFC">
            <w:pPr>
              <w:jc w:val="center"/>
              <w:rPr>
                <w:lang w:eastAsia="en-US"/>
              </w:rPr>
            </w:pPr>
            <w:r w:rsidRPr="00702DD0"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702DD0" w:rsidRDefault="00DA4AD8">
            <w:pPr>
              <w:rPr>
                <w:lang w:eastAsia="en-US"/>
              </w:rPr>
            </w:pPr>
            <w:r w:rsidRPr="00702DD0">
              <w:t xml:space="preserve">творческие мастерские, учреждения и организации инвалидов, ветеранов войны в Афганистане, участников ликвидации последствий Чернобыля, общественные организации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D8" w:rsidRPr="008720E7" w:rsidRDefault="00DA4AD8" w:rsidP="008720E7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8720E7">
              <w:rPr>
                <w:b/>
                <w:sz w:val="28"/>
              </w:rPr>
              <w:t>0,2</w:t>
            </w:r>
          </w:p>
        </w:tc>
      </w:tr>
      <w:tr w:rsidR="00165A47" w:rsidTr="00337A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7" w:rsidRPr="00702DD0" w:rsidRDefault="00165A47" w:rsidP="00295DFC">
            <w:pPr>
              <w:jc w:val="center"/>
              <w:rPr>
                <w:lang w:eastAsia="en-US"/>
              </w:rPr>
            </w:pPr>
            <w:r w:rsidRPr="00702DD0">
              <w:t>1</w:t>
            </w:r>
            <w:r w:rsidR="00096852" w:rsidRPr="00702DD0"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7" w:rsidRPr="00702DD0" w:rsidRDefault="00165A47" w:rsidP="00393823">
            <w:pPr>
              <w:rPr>
                <w:lang w:eastAsia="en-US"/>
              </w:rPr>
            </w:pPr>
            <w:r w:rsidRPr="00702DD0">
              <w:t>оказание услуг населению по электроснабжению, газоснабжению, теплоснабжению, водоснабжению и водоотведению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47" w:rsidRPr="00702DD0" w:rsidRDefault="00165A47" w:rsidP="00702DD0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702DD0">
              <w:rPr>
                <w:b/>
                <w:sz w:val="28"/>
              </w:rPr>
              <w:t>0,1</w:t>
            </w:r>
          </w:p>
        </w:tc>
      </w:tr>
    </w:tbl>
    <w:p w:rsidR="00337A50" w:rsidRDefault="00337A50" w:rsidP="00337A50">
      <w:pPr>
        <w:jc w:val="both"/>
        <w:rPr>
          <w:sz w:val="28"/>
          <w:szCs w:val="22"/>
          <w:lang w:eastAsia="en-US"/>
        </w:rPr>
      </w:pPr>
    </w:p>
    <w:p w:rsidR="00EF5C25" w:rsidRDefault="00EF5C25" w:rsidP="00337A50">
      <w:pPr>
        <w:jc w:val="both"/>
        <w:rPr>
          <w:sz w:val="28"/>
          <w:szCs w:val="22"/>
          <w:lang w:eastAsia="en-US"/>
        </w:rPr>
      </w:pPr>
      <w:proofErr w:type="spellStart"/>
      <w:r w:rsidRPr="00EF5C25">
        <w:rPr>
          <w:b/>
          <w:sz w:val="28"/>
          <w:szCs w:val="22"/>
          <w:lang w:eastAsia="en-US"/>
        </w:rPr>
        <w:t>Ам</w:t>
      </w:r>
      <w:proofErr w:type="spellEnd"/>
      <w:r>
        <w:rPr>
          <w:b/>
          <w:sz w:val="28"/>
          <w:szCs w:val="22"/>
          <w:lang w:eastAsia="en-US"/>
        </w:rPr>
        <w:t xml:space="preserve"> – </w:t>
      </w:r>
      <w:r>
        <w:rPr>
          <w:sz w:val="28"/>
          <w:szCs w:val="22"/>
          <w:lang w:eastAsia="en-US"/>
        </w:rPr>
        <w:t>исчисленный в денежном выражении износ основных средств в процессе их применения, производственного использования;</w:t>
      </w:r>
    </w:p>
    <w:p w:rsidR="00EF5C25" w:rsidRDefault="00EF5C25" w:rsidP="00337A50">
      <w:pPr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Исчисленный в денежном выражении износ определяется по формуле:</w:t>
      </w:r>
    </w:p>
    <w:p w:rsidR="00EF5C25" w:rsidRDefault="00EF5C25" w:rsidP="00337A50">
      <w:pPr>
        <w:jc w:val="both"/>
        <w:rPr>
          <w:b/>
          <w:sz w:val="28"/>
          <w:szCs w:val="22"/>
          <w:lang w:eastAsia="en-US"/>
        </w:rPr>
      </w:pPr>
      <w:proofErr w:type="spellStart"/>
      <w:r w:rsidRPr="00EF5C25">
        <w:rPr>
          <w:b/>
          <w:sz w:val="28"/>
          <w:szCs w:val="22"/>
          <w:lang w:eastAsia="en-US"/>
        </w:rPr>
        <w:t>Ам</w:t>
      </w:r>
      <w:r>
        <w:rPr>
          <w:b/>
          <w:sz w:val="28"/>
          <w:szCs w:val="22"/>
          <w:lang w:eastAsia="en-US"/>
        </w:rPr>
        <w:t>=Сб</w:t>
      </w:r>
      <w:proofErr w:type="spellEnd"/>
      <w:r>
        <w:rPr>
          <w:b/>
          <w:sz w:val="28"/>
          <w:szCs w:val="22"/>
          <w:lang w:eastAsia="en-US"/>
        </w:rPr>
        <w:t>*На:</w:t>
      </w:r>
      <w:r>
        <w:rPr>
          <w:b/>
          <w:sz w:val="28"/>
          <w:szCs w:val="22"/>
          <w:lang w:val="en-US" w:eastAsia="en-US"/>
        </w:rPr>
        <w:t>S</w:t>
      </w:r>
      <w:r>
        <w:rPr>
          <w:b/>
          <w:sz w:val="28"/>
          <w:szCs w:val="22"/>
          <w:lang w:eastAsia="en-US"/>
        </w:rPr>
        <w:t>о, где</w:t>
      </w:r>
    </w:p>
    <w:p w:rsidR="00EF5C25" w:rsidRDefault="00EF5C25" w:rsidP="00337A50">
      <w:pPr>
        <w:jc w:val="both"/>
        <w:rPr>
          <w:b/>
          <w:sz w:val="28"/>
          <w:szCs w:val="22"/>
          <w:lang w:eastAsia="en-US"/>
        </w:rPr>
      </w:pPr>
    </w:p>
    <w:p w:rsidR="00EF5C25" w:rsidRPr="00EF5C25" w:rsidRDefault="00EF5C25" w:rsidP="00337A50">
      <w:pPr>
        <w:jc w:val="both"/>
        <w:rPr>
          <w:sz w:val="28"/>
          <w:szCs w:val="22"/>
          <w:lang w:eastAsia="en-US"/>
        </w:rPr>
      </w:pPr>
      <w:proofErr w:type="spellStart"/>
      <w:r>
        <w:rPr>
          <w:b/>
          <w:sz w:val="28"/>
          <w:szCs w:val="22"/>
          <w:lang w:eastAsia="en-US"/>
        </w:rPr>
        <w:t>Сб</w:t>
      </w:r>
      <w:proofErr w:type="spellEnd"/>
      <w:r>
        <w:rPr>
          <w:b/>
          <w:sz w:val="28"/>
          <w:szCs w:val="22"/>
          <w:lang w:eastAsia="en-US"/>
        </w:rPr>
        <w:t xml:space="preserve"> – </w:t>
      </w:r>
      <w:r>
        <w:rPr>
          <w:sz w:val="28"/>
          <w:szCs w:val="22"/>
          <w:lang w:eastAsia="en-US"/>
        </w:rPr>
        <w:t>балансовая стоимость объекта в руб.;</w:t>
      </w:r>
    </w:p>
    <w:p w:rsidR="00EF5C25" w:rsidRDefault="00EF5C25" w:rsidP="00337A50">
      <w:pPr>
        <w:jc w:val="both"/>
        <w:rPr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На –</w:t>
      </w:r>
      <w:r>
        <w:rPr>
          <w:sz w:val="28"/>
          <w:szCs w:val="22"/>
          <w:lang w:eastAsia="en-US"/>
        </w:rPr>
        <w:t xml:space="preserve"> норма амортизации на полное восстановление здания (строения, сооружения), в долях единицы;</w:t>
      </w:r>
    </w:p>
    <w:p w:rsidR="00EF5C25" w:rsidRDefault="00EF5C25" w:rsidP="00337A50">
      <w:pPr>
        <w:jc w:val="both"/>
        <w:rPr>
          <w:sz w:val="28"/>
          <w:szCs w:val="22"/>
          <w:lang w:eastAsia="en-US"/>
        </w:rPr>
      </w:pPr>
      <w:r>
        <w:rPr>
          <w:b/>
          <w:sz w:val="28"/>
          <w:szCs w:val="22"/>
          <w:lang w:val="en-US" w:eastAsia="en-US"/>
        </w:rPr>
        <w:t>S</w:t>
      </w:r>
      <w:r>
        <w:rPr>
          <w:b/>
          <w:sz w:val="28"/>
          <w:szCs w:val="22"/>
          <w:lang w:eastAsia="en-US"/>
        </w:rPr>
        <w:t xml:space="preserve">о – </w:t>
      </w:r>
      <w:r>
        <w:rPr>
          <w:sz w:val="28"/>
          <w:szCs w:val="22"/>
          <w:lang w:eastAsia="en-US"/>
        </w:rPr>
        <w:t xml:space="preserve">общая площадь объекта </w:t>
      </w:r>
      <w:proofErr w:type="gramStart"/>
      <w:r>
        <w:rPr>
          <w:sz w:val="28"/>
          <w:szCs w:val="22"/>
          <w:lang w:eastAsia="en-US"/>
        </w:rPr>
        <w:t>( в</w:t>
      </w:r>
      <w:proofErr w:type="gramEnd"/>
      <w:r>
        <w:rPr>
          <w:sz w:val="28"/>
          <w:szCs w:val="22"/>
          <w:lang w:eastAsia="en-US"/>
        </w:rPr>
        <w:t xml:space="preserve"> кв.м.) и (или) протяженность (в </w:t>
      </w:r>
      <w:proofErr w:type="spellStart"/>
      <w:r>
        <w:rPr>
          <w:sz w:val="28"/>
          <w:szCs w:val="22"/>
          <w:lang w:eastAsia="en-US"/>
        </w:rPr>
        <w:t>пог.м</w:t>
      </w:r>
      <w:proofErr w:type="spellEnd"/>
      <w:r>
        <w:rPr>
          <w:sz w:val="28"/>
          <w:szCs w:val="22"/>
          <w:lang w:eastAsia="en-US"/>
        </w:rPr>
        <w:t>.)</w:t>
      </w:r>
    </w:p>
    <w:p w:rsidR="00EF5C25" w:rsidRDefault="00EF5C25" w:rsidP="00337A50">
      <w:pPr>
        <w:jc w:val="both"/>
        <w:rPr>
          <w:sz w:val="28"/>
          <w:szCs w:val="22"/>
          <w:lang w:eastAsia="en-US"/>
        </w:rPr>
      </w:pPr>
    </w:p>
    <w:p w:rsidR="00E63376" w:rsidRPr="00E63376" w:rsidRDefault="00E63376" w:rsidP="00337A50">
      <w:pPr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При расчете годовой арендной платы за объекты коммунального назначения </w:t>
      </w:r>
      <w:proofErr w:type="spellStart"/>
      <w:r w:rsidRPr="00EF5C25">
        <w:rPr>
          <w:b/>
          <w:sz w:val="28"/>
          <w:szCs w:val="22"/>
          <w:lang w:eastAsia="en-US"/>
        </w:rPr>
        <w:t>Ам</w:t>
      </w:r>
      <w:proofErr w:type="spellEnd"/>
      <w:r>
        <w:rPr>
          <w:b/>
          <w:sz w:val="28"/>
          <w:szCs w:val="22"/>
          <w:lang w:eastAsia="en-US"/>
        </w:rPr>
        <w:t xml:space="preserve"> </w:t>
      </w:r>
      <w:r w:rsidRPr="00E63376">
        <w:rPr>
          <w:sz w:val="28"/>
          <w:szCs w:val="22"/>
          <w:lang w:eastAsia="en-US"/>
        </w:rPr>
        <w:t>не учитывается.</w:t>
      </w:r>
    </w:p>
    <w:p w:rsidR="00E63376" w:rsidRPr="00EF5C25" w:rsidRDefault="00E63376" w:rsidP="00337A50">
      <w:pPr>
        <w:jc w:val="both"/>
        <w:rPr>
          <w:sz w:val="28"/>
          <w:szCs w:val="22"/>
          <w:lang w:eastAsia="en-US"/>
        </w:rPr>
      </w:pPr>
    </w:p>
    <w:sectPr w:rsidR="00E63376" w:rsidRPr="00EF5C25" w:rsidSect="00FC3E2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4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5B1872BC"/>
    <w:multiLevelType w:val="multilevel"/>
    <w:tmpl w:val="CF1CE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7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72AF7"/>
    <w:rsid w:val="00000B5D"/>
    <w:rsid w:val="000012B4"/>
    <w:rsid w:val="000041F2"/>
    <w:rsid w:val="00006350"/>
    <w:rsid w:val="000132C0"/>
    <w:rsid w:val="00013832"/>
    <w:rsid w:val="000141E7"/>
    <w:rsid w:val="000230A3"/>
    <w:rsid w:val="00026E35"/>
    <w:rsid w:val="00034A0F"/>
    <w:rsid w:val="00041186"/>
    <w:rsid w:val="00052152"/>
    <w:rsid w:val="00063C63"/>
    <w:rsid w:val="000661D4"/>
    <w:rsid w:val="00072DF6"/>
    <w:rsid w:val="00072F63"/>
    <w:rsid w:val="00073298"/>
    <w:rsid w:val="00074FE7"/>
    <w:rsid w:val="00080AD1"/>
    <w:rsid w:val="000838F9"/>
    <w:rsid w:val="000850B9"/>
    <w:rsid w:val="000928B3"/>
    <w:rsid w:val="0009363A"/>
    <w:rsid w:val="00094EA8"/>
    <w:rsid w:val="00096852"/>
    <w:rsid w:val="0009792C"/>
    <w:rsid w:val="000A1813"/>
    <w:rsid w:val="000A1E29"/>
    <w:rsid w:val="000C282D"/>
    <w:rsid w:val="000C45C2"/>
    <w:rsid w:val="000C61DA"/>
    <w:rsid w:val="000C6734"/>
    <w:rsid w:val="000D0C3B"/>
    <w:rsid w:val="000D2A51"/>
    <w:rsid w:val="000F2BE7"/>
    <w:rsid w:val="0011049D"/>
    <w:rsid w:val="00111024"/>
    <w:rsid w:val="00121506"/>
    <w:rsid w:val="00124958"/>
    <w:rsid w:val="00160022"/>
    <w:rsid w:val="0016044B"/>
    <w:rsid w:val="00160638"/>
    <w:rsid w:val="0016354E"/>
    <w:rsid w:val="00164855"/>
    <w:rsid w:val="00165A47"/>
    <w:rsid w:val="00175B85"/>
    <w:rsid w:val="00176F57"/>
    <w:rsid w:val="001823F6"/>
    <w:rsid w:val="001828AF"/>
    <w:rsid w:val="001871BD"/>
    <w:rsid w:val="001912A8"/>
    <w:rsid w:val="0019328F"/>
    <w:rsid w:val="001945D7"/>
    <w:rsid w:val="001973CC"/>
    <w:rsid w:val="001A1EF0"/>
    <w:rsid w:val="001A2B9B"/>
    <w:rsid w:val="001A6B97"/>
    <w:rsid w:val="001C214E"/>
    <w:rsid w:val="001C2355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477F4"/>
    <w:rsid w:val="0025121F"/>
    <w:rsid w:val="002550B4"/>
    <w:rsid w:val="00265DB3"/>
    <w:rsid w:val="00267BCB"/>
    <w:rsid w:val="0027333A"/>
    <w:rsid w:val="00281C60"/>
    <w:rsid w:val="00282040"/>
    <w:rsid w:val="00287BA6"/>
    <w:rsid w:val="00295702"/>
    <w:rsid w:val="00295DFC"/>
    <w:rsid w:val="002B0F6A"/>
    <w:rsid w:val="002C491D"/>
    <w:rsid w:val="002D0172"/>
    <w:rsid w:val="002D0979"/>
    <w:rsid w:val="002D4FB0"/>
    <w:rsid w:val="002D598D"/>
    <w:rsid w:val="002E1114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4626A"/>
    <w:rsid w:val="00351ABB"/>
    <w:rsid w:val="00356A44"/>
    <w:rsid w:val="00357B27"/>
    <w:rsid w:val="00380118"/>
    <w:rsid w:val="00385052"/>
    <w:rsid w:val="00385656"/>
    <w:rsid w:val="00393823"/>
    <w:rsid w:val="003A2382"/>
    <w:rsid w:val="003B27C7"/>
    <w:rsid w:val="003B401D"/>
    <w:rsid w:val="003C362D"/>
    <w:rsid w:val="003D6C42"/>
    <w:rsid w:val="003D7F7A"/>
    <w:rsid w:val="003E2855"/>
    <w:rsid w:val="003F1B7C"/>
    <w:rsid w:val="003F2242"/>
    <w:rsid w:val="003F2466"/>
    <w:rsid w:val="003F4C42"/>
    <w:rsid w:val="003F6815"/>
    <w:rsid w:val="00403C69"/>
    <w:rsid w:val="00404CAE"/>
    <w:rsid w:val="00404DD6"/>
    <w:rsid w:val="004106DB"/>
    <w:rsid w:val="00410DD6"/>
    <w:rsid w:val="004120CA"/>
    <w:rsid w:val="00416069"/>
    <w:rsid w:val="00417AB9"/>
    <w:rsid w:val="00421FFE"/>
    <w:rsid w:val="00424911"/>
    <w:rsid w:val="0043125C"/>
    <w:rsid w:val="004414D9"/>
    <w:rsid w:val="00444F80"/>
    <w:rsid w:val="00462FF7"/>
    <w:rsid w:val="00467158"/>
    <w:rsid w:val="00467C41"/>
    <w:rsid w:val="00467DDC"/>
    <w:rsid w:val="004711D6"/>
    <w:rsid w:val="004753F8"/>
    <w:rsid w:val="00477A01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3F4"/>
    <w:rsid w:val="004C7EC8"/>
    <w:rsid w:val="004D421C"/>
    <w:rsid w:val="004D4E3F"/>
    <w:rsid w:val="004D59B9"/>
    <w:rsid w:val="004D6BF7"/>
    <w:rsid w:val="004E7CEF"/>
    <w:rsid w:val="005025BC"/>
    <w:rsid w:val="005025FE"/>
    <w:rsid w:val="0050323E"/>
    <w:rsid w:val="00503DEB"/>
    <w:rsid w:val="005065F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49D0"/>
    <w:rsid w:val="00572FDE"/>
    <w:rsid w:val="005833E2"/>
    <w:rsid w:val="0058414E"/>
    <w:rsid w:val="00595418"/>
    <w:rsid w:val="005A2E1F"/>
    <w:rsid w:val="005A3A44"/>
    <w:rsid w:val="005B5EA1"/>
    <w:rsid w:val="005C6E77"/>
    <w:rsid w:val="005E2EE8"/>
    <w:rsid w:val="005E4B32"/>
    <w:rsid w:val="005E550F"/>
    <w:rsid w:val="005E5F54"/>
    <w:rsid w:val="005F1161"/>
    <w:rsid w:val="005F58E5"/>
    <w:rsid w:val="005F673C"/>
    <w:rsid w:val="0060135F"/>
    <w:rsid w:val="00606BAD"/>
    <w:rsid w:val="00612E40"/>
    <w:rsid w:val="00614451"/>
    <w:rsid w:val="00615640"/>
    <w:rsid w:val="00624D94"/>
    <w:rsid w:val="0062646D"/>
    <w:rsid w:val="0063524F"/>
    <w:rsid w:val="00636978"/>
    <w:rsid w:val="006423BB"/>
    <w:rsid w:val="00642469"/>
    <w:rsid w:val="00657717"/>
    <w:rsid w:val="006659CE"/>
    <w:rsid w:val="0067347F"/>
    <w:rsid w:val="0067581C"/>
    <w:rsid w:val="00677B6B"/>
    <w:rsid w:val="006844D2"/>
    <w:rsid w:val="0069022D"/>
    <w:rsid w:val="00691B70"/>
    <w:rsid w:val="006A1D10"/>
    <w:rsid w:val="006A2A9D"/>
    <w:rsid w:val="006B1BCD"/>
    <w:rsid w:val="006B4E2B"/>
    <w:rsid w:val="006B5CA3"/>
    <w:rsid w:val="006C2F29"/>
    <w:rsid w:val="006C34CF"/>
    <w:rsid w:val="006C4BE2"/>
    <w:rsid w:val="006C588C"/>
    <w:rsid w:val="006C6DC1"/>
    <w:rsid w:val="006C787F"/>
    <w:rsid w:val="006D1387"/>
    <w:rsid w:val="006D1CB4"/>
    <w:rsid w:val="006D25FC"/>
    <w:rsid w:val="006E39AE"/>
    <w:rsid w:val="006E4CD3"/>
    <w:rsid w:val="00702DD0"/>
    <w:rsid w:val="00707D7D"/>
    <w:rsid w:val="00707F57"/>
    <w:rsid w:val="0071262E"/>
    <w:rsid w:val="007136E3"/>
    <w:rsid w:val="007152C5"/>
    <w:rsid w:val="00716658"/>
    <w:rsid w:val="00716A3A"/>
    <w:rsid w:val="00722303"/>
    <w:rsid w:val="00723C00"/>
    <w:rsid w:val="00731D03"/>
    <w:rsid w:val="00734A9F"/>
    <w:rsid w:val="00742399"/>
    <w:rsid w:val="00747DB1"/>
    <w:rsid w:val="00751675"/>
    <w:rsid w:val="00757FE2"/>
    <w:rsid w:val="00761492"/>
    <w:rsid w:val="00761ACF"/>
    <w:rsid w:val="00761B01"/>
    <w:rsid w:val="00762E20"/>
    <w:rsid w:val="00770BD0"/>
    <w:rsid w:val="00774A99"/>
    <w:rsid w:val="00775F00"/>
    <w:rsid w:val="007772E6"/>
    <w:rsid w:val="007825DC"/>
    <w:rsid w:val="0079792A"/>
    <w:rsid w:val="007A0660"/>
    <w:rsid w:val="007B178B"/>
    <w:rsid w:val="007B2333"/>
    <w:rsid w:val="007B60CD"/>
    <w:rsid w:val="007C0957"/>
    <w:rsid w:val="007C4941"/>
    <w:rsid w:val="007C6C10"/>
    <w:rsid w:val="007D6739"/>
    <w:rsid w:val="007E0893"/>
    <w:rsid w:val="007E1794"/>
    <w:rsid w:val="007E4034"/>
    <w:rsid w:val="007E45C6"/>
    <w:rsid w:val="007E7E94"/>
    <w:rsid w:val="00812070"/>
    <w:rsid w:val="00822A25"/>
    <w:rsid w:val="0082441C"/>
    <w:rsid w:val="00826ED8"/>
    <w:rsid w:val="00833F76"/>
    <w:rsid w:val="00834DE3"/>
    <w:rsid w:val="00852F44"/>
    <w:rsid w:val="00864BA5"/>
    <w:rsid w:val="0086590E"/>
    <w:rsid w:val="00865EDD"/>
    <w:rsid w:val="00870A02"/>
    <w:rsid w:val="0087150E"/>
    <w:rsid w:val="008720E7"/>
    <w:rsid w:val="00872AF6"/>
    <w:rsid w:val="00872AF7"/>
    <w:rsid w:val="00883B72"/>
    <w:rsid w:val="00885C04"/>
    <w:rsid w:val="008867FC"/>
    <w:rsid w:val="0089372F"/>
    <w:rsid w:val="0089440C"/>
    <w:rsid w:val="00895086"/>
    <w:rsid w:val="008A5454"/>
    <w:rsid w:val="008A701A"/>
    <w:rsid w:val="008B570A"/>
    <w:rsid w:val="008C7566"/>
    <w:rsid w:val="008C79DA"/>
    <w:rsid w:val="008D4622"/>
    <w:rsid w:val="008E36FD"/>
    <w:rsid w:val="008E40BC"/>
    <w:rsid w:val="008F065B"/>
    <w:rsid w:val="008F4B0E"/>
    <w:rsid w:val="008F7A4B"/>
    <w:rsid w:val="0090534F"/>
    <w:rsid w:val="00905523"/>
    <w:rsid w:val="0090727A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1B14"/>
    <w:rsid w:val="0097451E"/>
    <w:rsid w:val="009750CC"/>
    <w:rsid w:val="00981E62"/>
    <w:rsid w:val="00990ED8"/>
    <w:rsid w:val="0099292A"/>
    <w:rsid w:val="009A083F"/>
    <w:rsid w:val="009C64D0"/>
    <w:rsid w:val="009C7763"/>
    <w:rsid w:val="009D18B6"/>
    <w:rsid w:val="009D362E"/>
    <w:rsid w:val="009D3C21"/>
    <w:rsid w:val="009D73F1"/>
    <w:rsid w:val="009E5454"/>
    <w:rsid w:val="009F1615"/>
    <w:rsid w:val="00A0252F"/>
    <w:rsid w:val="00A1381B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4B7E"/>
    <w:rsid w:val="00A75301"/>
    <w:rsid w:val="00A774FD"/>
    <w:rsid w:val="00A91145"/>
    <w:rsid w:val="00A94210"/>
    <w:rsid w:val="00A95489"/>
    <w:rsid w:val="00AA7E87"/>
    <w:rsid w:val="00AB70BB"/>
    <w:rsid w:val="00AC12A3"/>
    <w:rsid w:val="00AD7830"/>
    <w:rsid w:val="00AE397C"/>
    <w:rsid w:val="00AE4DE3"/>
    <w:rsid w:val="00AE51CF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4AFD"/>
    <w:rsid w:val="00B441B5"/>
    <w:rsid w:val="00B46F7D"/>
    <w:rsid w:val="00B477AA"/>
    <w:rsid w:val="00B51647"/>
    <w:rsid w:val="00B557F3"/>
    <w:rsid w:val="00B73063"/>
    <w:rsid w:val="00B938D2"/>
    <w:rsid w:val="00B96254"/>
    <w:rsid w:val="00B965AC"/>
    <w:rsid w:val="00BA2587"/>
    <w:rsid w:val="00BA33C0"/>
    <w:rsid w:val="00BA434F"/>
    <w:rsid w:val="00BA6083"/>
    <w:rsid w:val="00BB48C2"/>
    <w:rsid w:val="00BC07AF"/>
    <w:rsid w:val="00BC45C7"/>
    <w:rsid w:val="00BC556A"/>
    <w:rsid w:val="00BD02D4"/>
    <w:rsid w:val="00BD08D5"/>
    <w:rsid w:val="00BD2B96"/>
    <w:rsid w:val="00BD493E"/>
    <w:rsid w:val="00BE76A2"/>
    <w:rsid w:val="00BF07EB"/>
    <w:rsid w:val="00BF4C1D"/>
    <w:rsid w:val="00C04B0F"/>
    <w:rsid w:val="00C07EB5"/>
    <w:rsid w:val="00C125E4"/>
    <w:rsid w:val="00C12724"/>
    <w:rsid w:val="00C12E4E"/>
    <w:rsid w:val="00C139C7"/>
    <w:rsid w:val="00C21120"/>
    <w:rsid w:val="00C24B00"/>
    <w:rsid w:val="00C252A6"/>
    <w:rsid w:val="00C326B5"/>
    <w:rsid w:val="00C409D0"/>
    <w:rsid w:val="00C47139"/>
    <w:rsid w:val="00C47686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D294A"/>
    <w:rsid w:val="00CE047C"/>
    <w:rsid w:val="00CE60E6"/>
    <w:rsid w:val="00CF21E5"/>
    <w:rsid w:val="00D06033"/>
    <w:rsid w:val="00D07FDD"/>
    <w:rsid w:val="00D11BAF"/>
    <w:rsid w:val="00D131A1"/>
    <w:rsid w:val="00D14855"/>
    <w:rsid w:val="00D149F4"/>
    <w:rsid w:val="00D159BC"/>
    <w:rsid w:val="00D15F9A"/>
    <w:rsid w:val="00D20DD2"/>
    <w:rsid w:val="00D239C2"/>
    <w:rsid w:val="00D26AD4"/>
    <w:rsid w:val="00D4017C"/>
    <w:rsid w:val="00D42158"/>
    <w:rsid w:val="00D46CBF"/>
    <w:rsid w:val="00D52F07"/>
    <w:rsid w:val="00D55FDB"/>
    <w:rsid w:val="00D57268"/>
    <w:rsid w:val="00D60C8D"/>
    <w:rsid w:val="00D612AB"/>
    <w:rsid w:val="00D62651"/>
    <w:rsid w:val="00D64CB5"/>
    <w:rsid w:val="00D84C2A"/>
    <w:rsid w:val="00D85AA9"/>
    <w:rsid w:val="00D96131"/>
    <w:rsid w:val="00DA0C94"/>
    <w:rsid w:val="00DA4AD8"/>
    <w:rsid w:val="00DB4ED3"/>
    <w:rsid w:val="00DD057A"/>
    <w:rsid w:val="00DD2047"/>
    <w:rsid w:val="00DD5B63"/>
    <w:rsid w:val="00DE0CE3"/>
    <w:rsid w:val="00DF0E75"/>
    <w:rsid w:val="00E053C3"/>
    <w:rsid w:val="00E05BD3"/>
    <w:rsid w:val="00E15D95"/>
    <w:rsid w:val="00E340E5"/>
    <w:rsid w:val="00E346C6"/>
    <w:rsid w:val="00E351DA"/>
    <w:rsid w:val="00E5228F"/>
    <w:rsid w:val="00E551A9"/>
    <w:rsid w:val="00E552A2"/>
    <w:rsid w:val="00E570E6"/>
    <w:rsid w:val="00E63376"/>
    <w:rsid w:val="00E664F6"/>
    <w:rsid w:val="00E71162"/>
    <w:rsid w:val="00E74C94"/>
    <w:rsid w:val="00E80323"/>
    <w:rsid w:val="00E81DE6"/>
    <w:rsid w:val="00E87414"/>
    <w:rsid w:val="00E87A5D"/>
    <w:rsid w:val="00E97B70"/>
    <w:rsid w:val="00EB1AF9"/>
    <w:rsid w:val="00EB525C"/>
    <w:rsid w:val="00EB5359"/>
    <w:rsid w:val="00EB643C"/>
    <w:rsid w:val="00EB68C6"/>
    <w:rsid w:val="00EC170C"/>
    <w:rsid w:val="00EC4519"/>
    <w:rsid w:val="00EC5A23"/>
    <w:rsid w:val="00EE32D7"/>
    <w:rsid w:val="00EE679E"/>
    <w:rsid w:val="00EF51E8"/>
    <w:rsid w:val="00EF5C25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93B3F"/>
    <w:rsid w:val="00FA2637"/>
    <w:rsid w:val="00FA3531"/>
    <w:rsid w:val="00FB23A4"/>
    <w:rsid w:val="00FB5837"/>
    <w:rsid w:val="00FC260A"/>
    <w:rsid w:val="00FC3E24"/>
    <w:rsid w:val="00FC3FBB"/>
    <w:rsid w:val="00FD5513"/>
    <w:rsid w:val="00FE1084"/>
    <w:rsid w:val="00FE35A8"/>
    <w:rsid w:val="00FF1272"/>
    <w:rsid w:val="00FF5416"/>
    <w:rsid w:val="00FF6FD0"/>
    <w:rsid w:val="00FF7400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F028-D764-48CE-8F63-62973CCE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9035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    </vt:lpstr>
    </vt:vector>
  </TitlesOfParts>
  <Company>МО "Гатчинский район"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User</cp:lastModifiedBy>
  <cp:revision>2</cp:revision>
  <cp:lastPrinted>2016-04-11T08:48:00Z</cp:lastPrinted>
  <dcterms:created xsi:type="dcterms:W3CDTF">2016-05-05T12:24:00Z</dcterms:created>
  <dcterms:modified xsi:type="dcterms:W3CDTF">2016-05-05T12:24:00Z</dcterms:modified>
</cp:coreProperties>
</file>